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Regulatory changes and AI advancements poised to reshape credit unions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financial sector transitions into 2025, significant developments surrounding policy shifts, regulatory changes, and advancements in artificial intelligence (AI) are poised to impact credit unions substantially. The beginning of a new year, notably ushered in by a new presidential administration on January 20th, 2025, may bring considerable changes to the landscape of financial regulations, notably in the oversight of AI integration within businesses.</w:t>
      </w:r>
      <w:r/>
    </w:p>
    <w:p>
      <w:r/>
      <w:r>
        <w:t>The Consumer Financial Protection Bureau (CFPB) finds itself at a crossroads as incoming administration officials have expressed dissatisfaction with its recent rulemaking. In the past months of 2024, the CFPB established new regulations concerning overdraft fees, interchange fees, and penalties for late credit card payments. While these rules garnered support from the previous administration, critiques from the new leadership have surfaced. Vivek Ramaswamy, co-leader of the newly formed Department of Government Efficiency (DOGE), voiced strong opposition to the CFPB, suggesting that the agency has overstepped its boundaries. “The new administration can and should nullify this overreach, but we must go further,” Ramaswamy stated, Labelling the CFPB actions as an “unconstitutional cancer of unelected bureaucrats substituting their policy judgments for those of Congress.” Elon Musk echoed this sentiment succinctly, advocating on social media for the agency's dissolution, calling for a "Delete CFPB."</w:t>
      </w:r>
      <w:r/>
    </w:p>
    <w:p>
      <w:r/>
      <w:r>
        <w:t>As the industry gears up for potential legal battles and administrative transitions, credit unions are advised to stay informed and prepare contingency plans regarding the implications of these evolving regulations. With leadership changes anticipated, the fate of newly implemented rules may hang in the balance in coming months.</w:t>
      </w:r>
      <w:r/>
    </w:p>
    <w:p>
      <w:r/>
      <w:r>
        <w:t>Amid these regulatory discussions, the integration of AI into credit union operations remains a pivotal concern. Financial institutions have started to adopt AI technology, leveraging its potential to enhance efficiency and service delivery while navigating a landscape fraught with legal challenges surrounding data privacy and ethical use. Recent cases, such as Navy Federal Credit Union's litigation involving accusations of biased lending practices linked to its automated underwriting system and AI-driven customer call monitoring, underscore the urgent need for clear, consistent guidelines governing AI deployment. Jim Nussle, President/CEO of America’s Credit Union, reflected this sentiment in a letter to Congress: “It is critical that there are clear rules of the road so that Congress and regulators are better informed.”</w:t>
      </w:r>
      <w:r/>
    </w:p>
    <w:p>
      <w:r/>
      <w:r>
        <w:t>The federal government has taken preliminary steps to introduce directives, specifically through the “Executive Order on the Safe, Secure, and Trustworthy Development and Use of Artificial Intelligence.” However, as the political landscape shifts, the permanence of these guidelines may be uncertain. Moreover, individual states are stepping in, with a notable increase in AI-related legislative proposals. In 2025, eight states are anticipated to adopt laws that increase oversight of AI use, highlighting a patchwork regulatory environment that credit unions will need to navigate.</w:t>
      </w:r>
      <w:r/>
    </w:p>
    <w:p>
      <w:r/>
      <w:r>
        <w:t>As credit unions strive to incorporate AI responsibly, they must also remain vigilant regarding the interplay between AI applications and data privacy regulations. The evolving legal framework necessitates thorough assessments of their current AI implementations to mitigate the risks of potential non-compliance.</w:t>
      </w:r>
      <w:r/>
    </w:p>
    <w:p>
      <w:r/>
      <w:r>
        <w:t>In March 2025, the Governmental Affairs Conference (GAC) scheduled to take place in Washington D.C. represents a significant platform for discussing these challenges. The theme for this year’s event, “Together We Move – Moving with purpose. Moving with passion. Moving with strength,” underscores a collective industry endeavor to strengthen the financial standing of credit unions. With discussions centred around regulatory challenges and advancements in technology anticipated to dominate the agenda, attendees will have the opportunity to engage with key stakeholders, including members of Congress and regulatory leaders.</w:t>
      </w:r>
      <w:r/>
    </w:p>
    <w:p>
      <w:r/>
      <w:r>
        <w:t>As the financial sector embarks on adjustments to its operational frameworks, the timeline for significant policy changes is expected to be gradual. While early declarations may hint at forthcoming transformations, actual implementation may extend into later months or even into 2026. Staying attuned to developments will be essential for credit unions to navigate this shifting landscape effectively. CUSO Magazine, as a reliable source for industry updates, will closely monitor these transitions, ensuring that credit unions remain informed as they adapt to the evolving demands of both technology and regulation.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https://kpmg.com/xx/en/our-insights/regulatory-insights/2025-financial-services-regulatory-priorities.html</w:t>
        </w:r>
      </w:hyperlink>
      <w:r>
        <w:t xml:space="preserve"> - Discusses the regulatory priorities in the financial services sector for 2025, including the implementation of Basel reforms, the UK's Financial Services Growth and Competitiveness Strategy, and changes in reporting requirements.</w:t>
      </w:r>
      <w:r/>
    </w:p>
    <w:p>
      <w:pPr>
        <w:pStyle w:val="ListNumber"/>
        <w:spacing w:line="240" w:lineRule="auto"/>
        <w:ind w:left="720"/>
      </w:pPr>
      <w:r/>
      <w:hyperlink r:id="rId11">
        <w:r>
          <w:rPr>
            <w:color w:val="0000EE"/>
            <w:u w:val="single"/>
          </w:rPr>
          <w:t>https://capstonedc.com/insights/consumer-finance-2025-preview/</w:t>
        </w:r>
      </w:hyperlink>
      <w:r>
        <w:t xml:space="preserve"> - Details the expected changes in the Consumer Financial Protection Bureau's (CFPB) rulemaking agenda under the Trump administration, including potential rollbacks of Biden-era rules and changes in oversight of digital payments.</w:t>
      </w:r>
      <w:r/>
    </w:p>
    <w:p>
      <w:pPr>
        <w:pStyle w:val="ListNumber"/>
        <w:spacing w:line="240" w:lineRule="auto"/>
        <w:ind w:left="720"/>
      </w:pPr>
      <w:r/>
      <w:hyperlink r:id="rId11">
        <w:r>
          <w:rPr>
            <w:color w:val="0000EE"/>
            <w:u w:val="single"/>
          </w:rPr>
          <w:t>https://capstonedc.com/insights/consumer-finance-2025-preview/</w:t>
        </w:r>
      </w:hyperlink>
      <w:r>
        <w:t xml:space="preserve"> - Provides insights into the CFPB's likely actions on credit card late fees, overdraft lending, and other financial regulations under the new administration.</w:t>
      </w:r>
      <w:r/>
    </w:p>
    <w:p>
      <w:pPr>
        <w:pStyle w:val="ListNumber"/>
        <w:spacing w:line="240" w:lineRule="auto"/>
        <w:ind w:left="720"/>
      </w:pPr>
      <w:r/>
      <w:hyperlink r:id="rId12">
        <w:r>
          <w:rPr>
            <w:color w:val="0000EE"/>
            <w:u w:val="single"/>
          </w:rPr>
          <w:t>https://www.bpm.com/insights/financial-services-outlook-2025/</w:t>
        </w:r>
      </w:hyperlink>
      <w:r>
        <w:t xml:space="preserve"> - Outlines strategic priorities for the financial services sector in 2025, including capitalizing on shifting rate dynamics and leveraging private credit opportunities.</w:t>
      </w:r>
      <w:r/>
    </w:p>
    <w:p>
      <w:pPr>
        <w:pStyle w:val="ListNumber"/>
        <w:spacing w:line="240" w:lineRule="auto"/>
        <w:ind w:left="720"/>
      </w:pPr>
      <w:r/>
      <w:hyperlink r:id="rId10">
        <w:r>
          <w:rPr>
            <w:color w:val="0000EE"/>
            <w:u w:val="single"/>
          </w:rPr>
          <w:t>https://kpmg.com/xx/en/our-insights/regulatory-insights/2025-financial-services-regulatory-priorities.html</w:t>
        </w:r>
      </w:hyperlink>
      <w:r>
        <w:t xml:space="preserve"> - Mentions the focus on sustainable finance, asset management, and other key areas of growth and competitiveness in the financial sector for 2025.</w:t>
      </w:r>
      <w:r/>
    </w:p>
    <w:p>
      <w:pPr>
        <w:pStyle w:val="ListNumber"/>
        <w:spacing w:line="240" w:lineRule="auto"/>
        <w:ind w:left="720"/>
      </w:pPr>
      <w:r/>
      <w:hyperlink r:id="rId11">
        <w:r>
          <w:rPr>
            <w:color w:val="0000EE"/>
            <w:u w:val="single"/>
          </w:rPr>
          <w:t>https://capstonedc.com/insights/consumer-finance-2025-preview/</w:t>
        </w:r>
      </w:hyperlink>
      <w:r>
        <w:t xml:space="preserve"> - Discusses the potential legal battles and administrative transitions affecting financial regulations, particularly in relation to the CFPB's rulemaking.</w:t>
      </w:r>
      <w:r/>
    </w:p>
    <w:p>
      <w:pPr>
        <w:pStyle w:val="ListNumber"/>
        <w:spacing w:line="240" w:lineRule="auto"/>
        <w:ind w:left="720"/>
      </w:pPr>
      <w:r/>
      <w:hyperlink r:id="rId10">
        <w:r>
          <w:rPr>
            <w:color w:val="0000EE"/>
            <w:u w:val="single"/>
          </w:rPr>
          <w:t>https://kpmg.com/xx/en/our-insights/regulatory-insights/2025-financial-services-regulatory-priorities.html</w:t>
        </w:r>
      </w:hyperlink>
      <w:r>
        <w:t xml:space="preserve"> - Highlights the importance of regulatory changes and their impact on the payments ecosystem, including Open Banking and the UK National Payments Vision.</w:t>
      </w:r>
      <w:r/>
    </w:p>
    <w:p>
      <w:pPr>
        <w:pStyle w:val="ListNumber"/>
        <w:spacing w:line="240" w:lineRule="auto"/>
        <w:ind w:left="720"/>
      </w:pPr>
      <w:r/>
      <w:hyperlink r:id="rId11">
        <w:r>
          <w:rPr>
            <w:color w:val="0000EE"/>
            <w:u w:val="single"/>
          </w:rPr>
          <w:t>https://capstonedc.com/insights/consumer-finance-2025-preview/</w:t>
        </w:r>
      </w:hyperlink>
      <w:r>
        <w:t xml:space="preserve"> - Addresses the Trump administration's stance on the CFPB and the potential for reducing the regulatory burden on financial services.</w:t>
      </w:r>
      <w:r/>
    </w:p>
    <w:p>
      <w:pPr>
        <w:pStyle w:val="ListNumber"/>
        <w:spacing w:line="240" w:lineRule="auto"/>
        <w:ind w:left="720"/>
      </w:pPr>
      <w:r/>
      <w:hyperlink r:id="rId12">
        <w:r>
          <w:rPr>
            <w:color w:val="0000EE"/>
            <w:u w:val="single"/>
          </w:rPr>
          <w:t>https://www.bpm.com/insights/financial-services-outlook-2025/</w:t>
        </w:r>
      </w:hyperlink>
      <w:r>
        <w:t xml:space="preserve"> - Emphasizes the need for financial institutions to adapt to changing rate dynamics and optimize their strategic positions in 2025.</w:t>
      </w:r>
      <w:r/>
    </w:p>
    <w:p>
      <w:pPr>
        <w:pStyle w:val="ListNumber"/>
        <w:spacing w:line="240" w:lineRule="auto"/>
        <w:ind w:left="720"/>
      </w:pPr>
      <w:r/>
      <w:hyperlink r:id="rId10">
        <w:r>
          <w:rPr>
            <w:color w:val="0000EE"/>
            <w:u w:val="single"/>
          </w:rPr>
          <w:t>https://kpmg.com/xx/en/our-insights/regulatory-insights/2025-financial-services-regulatory-priorities.html</w:t>
        </w:r>
      </w:hyperlink>
      <w:r>
        <w:t xml:space="preserve"> - Mentions the ongoing refinement of asset managers' approaches to sustainable finance and the phased rollout of the FCA’s Sustainability Disclosure Requirements (SDR).</w:t>
      </w:r>
      <w:r/>
    </w:p>
    <w:p>
      <w:pPr>
        <w:pStyle w:val="ListNumber"/>
        <w:spacing w:line="240" w:lineRule="auto"/>
        <w:ind w:left="720"/>
      </w:pPr>
      <w:r/>
      <w:hyperlink r:id="rId13">
        <w:r>
          <w:rPr>
            <w:color w:val="0000EE"/>
            <w:u w:val="single"/>
          </w:rPr>
          <w:t>https://cusomag.com/2025/01/08/topics-credit-unions-should-keep-an-eye-on-in-the-new-year/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kpmg.com/xx/en/our-insights/regulatory-insights/2025-financial-services-regulatory-priorities.html" TargetMode="External"/><Relationship Id="rId11" Type="http://schemas.openxmlformats.org/officeDocument/2006/relationships/hyperlink" Target="https://capstonedc.com/insights/consumer-finance-2025-preview/" TargetMode="External"/><Relationship Id="rId12" Type="http://schemas.openxmlformats.org/officeDocument/2006/relationships/hyperlink" Target="https://www.bpm.com/insights/financial-services-outlook-2025/" TargetMode="External"/><Relationship Id="rId13" Type="http://schemas.openxmlformats.org/officeDocument/2006/relationships/hyperlink" Target="https://cusomag.com/2025/01/08/topics-credit-unions-should-keep-an-eye-on-in-the-new-ye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