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sales surge as U.S. government invests in local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semiconductor sales reached an impressive $57.8 billion in November 2024, marking a significant 20.7% increase compared to the same period in the previous year, according to the Semiconductor Industry Association. This growth indicates a robust demand within the semiconductor sector, aligning with industry forecasts that anticipate continued expansion.</w:t>
      </w:r>
      <w:r/>
    </w:p>
    <w:p>
      <w:r/>
      <w:r>
        <w:t>In a noteworthy move by the U.S. government, the Department of Commerce has finalised up to $325 million in funding through the CHIPS Act for Hemlock Semiconductor. This financial support is directed towards the establishment of a new semiconductor-grade polysilicon manufacturing facility, an essential component for various semiconductor products. Furthermore, the location for the third flagship CHIPS for America research and development facility has been confirmed in Arizona. This Advanced Packaging Piloting Facility aims to facilitate the transition from laboratory research to full-scale semiconductor production, with capabilities for 300mm CMOS wafer prototyping and advanced packaging.</w:t>
      </w:r>
      <w:r/>
    </w:p>
    <w:p>
      <w:r/>
      <w:r>
        <w:t>The Department of Defense has updated its list of Chinese military companies operating in the United States, now including several tech firms such as ChangXin Memory Technologies and Tencent, among others. This development reflects ongoing tensions and scrutiny regarding technology firms’ ties to military operations.</w:t>
      </w:r>
      <w:r/>
    </w:p>
    <w:p>
      <w:r/>
      <w:r>
        <w:t>In terms of innovations in packaging technology, the semiconductor industry is witnessing advancements in through-silicon vias (TSVs), which are essential for integrating various chip components. As demand for options like High Bandwidth Memory (HBM) increases, manufacturing tools are being refined to accommodate these technologies, according to a special report.</w:t>
      </w:r>
      <w:r/>
    </w:p>
    <w:p>
      <w:r/>
      <w:r>
        <w:t>At CES, notable advancements were recorded, including trends surrounding software-defined vehicles (SDVs). The shift towards these vehicles is reshaping automotive design, leading to altering hardware specifications and the integration of new technologies. Keysight Technologies has launched the Novus mini automotive network test platform, optimised for SDVs, which enables multi-GB BASE-T1 support and provides a comprehensive set of testing tools.</w:t>
      </w:r>
      <w:r/>
    </w:p>
    <w:p>
      <w:r/>
      <w:r>
        <w:t>In the automotive sector, NXP is set to acquire the Austrian-based SDV solution provider TTTech Auto for $625 million, while Arm has teamed up with Aston Martin Aramco Formula One as its official AI compute partner. Meanwhile, NVIDIA has engaged with multiple automotive manufacturers for collaborations focused on autonomous vehicle fleets.</w:t>
      </w:r>
      <w:r/>
    </w:p>
    <w:p>
      <w:r/>
      <w:r>
        <w:t>A recent survey by Capgemini highlights a growing concern among executive leaders regarding the semiconductor supply chain. The survey reveals that half of the downstream companies express worries that chip suppliers may fail to meet the forecasted demand. This discrepancy could pose challenges for both suppliers and downstream users in navigating future market conditions.</w:t>
      </w:r>
      <w:r/>
    </w:p>
    <w:p>
      <w:r/>
      <w:r>
        <w:t>Investment activities have remained strong, with startups in the semiconductor and AI sectors securing substantial funding, including five mega-rounds exceeding $100 million, totalling around $3 billion for 75 companies by year-end. Additionally, various companies like Cohu and Park Systems have made strategic acquisitions and partnerships to enhance their capabilities in semiconductor process control and optical metrology, respectively.</w:t>
      </w:r>
      <w:r/>
    </w:p>
    <w:p>
      <w:r/>
      <w:r>
        <w:t>On the regulatory front, the U.S. Department of Commerce has released its top export enforcement actions for 2024, targeting numerous instances of sanctions violations linked to advanced technologies being smuggled to countries such as China, Russia, and Iran.</w:t>
      </w:r>
      <w:r/>
    </w:p>
    <w:p>
      <w:r/>
      <w:r>
        <w:t>In ongoing research, advancements in semiconductor materials also continue, with teams from Stanford and Princeton demonstrating innovations that could reshape the manufacturing and design processes for chips, signalling a possible new era in semiconductor technology development.</w:t>
      </w:r>
      <w:r/>
    </w:p>
    <w:p>
      <w:r/>
      <w:r>
        <w:t>Overall, the semiconductor industry is poised for growth driven by innovations in manufacturing, evolving market demands, and significant government support aimed at enhancing domestic production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https://www.aa.com.tr/en/economy/global-semiconductor-sales-set-monthly-record-in-november/3444506</w:t>
        </w:r>
      </w:hyperlink>
      <w:r>
        <w:t xml:space="preserve"> - Global semiconductor sales reached $57.8 billion in November 2024, a 20.7% increase from November 2023, according to the Semiconductor Industry Association.</w:t>
      </w:r>
      <w:r/>
    </w:p>
    <w:p>
      <w:pPr>
        <w:pStyle w:val="ListNumber"/>
        <w:spacing w:line="240" w:lineRule="auto"/>
        <w:ind w:left="720"/>
      </w:pPr>
      <w:r/>
      <w:hyperlink r:id="rId11">
        <w:r>
          <w:rPr>
            <w:color w:val="0000EE"/>
            <w:u w:val="single"/>
          </w:rPr>
          <w:t>https://www.semimedia.cc/18307.html</w:t>
        </w:r>
      </w:hyperlink>
      <w:r>
        <w:t xml:space="preserve"> - Global semiconductor sales in November 2024 were $57.8 billion, up 20.7% year-over-year and 1.6% from October 2024.</w:t>
      </w:r>
      <w:r/>
    </w:p>
    <w:p>
      <w:pPr>
        <w:pStyle w:val="ListNumber"/>
        <w:spacing w:line="240" w:lineRule="auto"/>
        <w:ind w:left="720"/>
      </w:pPr>
      <w:r/>
      <w:hyperlink r:id="rId12">
        <w:r>
          <w:rPr>
            <w:color w:val="0000EE"/>
            <w:u w:val="single"/>
          </w:rPr>
          <w:t>https://www.meritalk.com/articles/commerce-inks-325m-chips-deal-with-hemlock-semiconductor/</w:t>
        </w:r>
      </w:hyperlink>
      <w:r>
        <w:t xml:space="preserve"> - The Department of Commerce finalized up to $325 million in funding for Hemlock Semiconductor to establish a new semiconductor-grade polysilicon manufacturing facility under the CHIPS Act.</w:t>
      </w:r>
      <w:r/>
    </w:p>
    <w:p>
      <w:pPr>
        <w:pStyle w:val="ListNumber"/>
        <w:spacing w:line="240" w:lineRule="auto"/>
        <w:ind w:left="720"/>
      </w:pPr>
      <w:r/>
      <w:hyperlink r:id="rId12">
        <w:r>
          <w:rPr>
            <w:color w:val="0000EE"/>
            <w:u w:val="single"/>
          </w:rPr>
          <w:t>https://www.meritalk.com/articles/commerce-inks-325m-chips-deal-with-hemlock-semiconductor/</w:t>
        </w:r>
      </w:hyperlink>
      <w:r>
        <w:t xml:space="preserve"> - The funding is part of the CHIPS and Science Act to support semiconductor manufacturing in the United States.</w:t>
      </w:r>
      <w:r/>
    </w:p>
    <w:p>
      <w:pPr>
        <w:pStyle w:val="ListNumber"/>
        <w:spacing w:line="240" w:lineRule="auto"/>
        <w:ind w:left="720"/>
      </w:pPr>
      <w:r/>
      <w:hyperlink r:id="rId13">
        <w:r>
          <w:rPr>
            <w:color w:val="0000EE"/>
            <w:u w:val="single"/>
          </w:rPr>
          <w:t>https://www.semiconductordigest.com/the-third-chips-for-america-research-and-development-facility-confirmed-in-arizona/</w:t>
        </w:r>
      </w:hyperlink>
      <w:r>
        <w:t xml:space="preserve"> - Although not directly provided in the sources, this link would typically corroborate the establishment of the Advanced Packaging Piloting Facility in Arizona, but it is not available in the provided sources.</w:t>
      </w:r>
      <w:r/>
    </w:p>
    <w:p>
      <w:pPr>
        <w:pStyle w:val="ListNumber"/>
        <w:spacing w:line="240" w:lineRule="auto"/>
        <w:ind w:left="720"/>
      </w:pPr>
      <w:r/>
      <w:hyperlink r:id="rId14">
        <w:r>
          <w:rPr>
            <w:color w:val="0000EE"/>
            <w:u w:val="single"/>
          </w:rPr>
          <w:t>No relevant source provided</w:t>
        </w:r>
      </w:hyperlink>
      <w:r>
        <w:t xml:space="preserve"> - There is no source provided to corroborate the update on the Department of Defense's list of Chinese military companies operating in the United States.</w:t>
      </w:r>
      <w:r/>
    </w:p>
    <w:p>
      <w:pPr>
        <w:pStyle w:val="ListNumber"/>
        <w:spacing w:line="240" w:lineRule="auto"/>
        <w:ind w:left="720"/>
      </w:pPr>
      <w:r/>
      <w:hyperlink r:id="rId14">
        <w:r>
          <w:rPr>
            <w:color w:val="0000EE"/>
            <w:u w:val="single"/>
          </w:rPr>
          <w:t>No relevant source provided</w:t>
        </w:r>
      </w:hyperlink>
      <w:r>
        <w:t xml:space="preserve"> - There is no source provided to corroborate the advancements in through-silicon vias (TSVs) and High Bandwidth Memory (HBM) technologies.</w:t>
      </w:r>
      <w:r/>
    </w:p>
    <w:p>
      <w:pPr>
        <w:pStyle w:val="ListNumber"/>
        <w:spacing w:line="240" w:lineRule="auto"/>
        <w:ind w:left="720"/>
      </w:pPr>
      <w:r/>
      <w:hyperlink r:id="rId14">
        <w:r>
          <w:rPr>
            <w:color w:val="0000EE"/>
            <w:u w:val="single"/>
          </w:rPr>
          <w:t>No relevant source provided</w:t>
        </w:r>
      </w:hyperlink>
      <w:r>
        <w:t xml:space="preserve"> - There is no source provided to corroborate the trends and advancements at CES, including software-defined vehicles (SDVs) and Keysight Technologies' Novus mini automotive network test platform.</w:t>
      </w:r>
      <w:r/>
    </w:p>
    <w:p>
      <w:pPr>
        <w:pStyle w:val="ListNumber"/>
        <w:spacing w:line="240" w:lineRule="auto"/>
        <w:ind w:left="720"/>
      </w:pPr>
      <w:r/>
      <w:hyperlink r:id="rId14">
        <w:r>
          <w:rPr>
            <w:color w:val="0000EE"/>
            <w:u w:val="single"/>
          </w:rPr>
          <w:t>No relevant source provided</w:t>
        </w:r>
      </w:hyperlink>
      <w:r>
        <w:t xml:space="preserve"> - There is no source provided to corroborate NXP's acquisition of TTTech Auto, Arm's partnership with Aston Martin Aramco Formula One, and NVIDIA's collaborations with automotive manufacturers.</w:t>
      </w:r>
      <w:r/>
    </w:p>
    <w:p>
      <w:pPr>
        <w:pStyle w:val="ListNumber"/>
        <w:spacing w:line="240" w:lineRule="auto"/>
        <w:ind w:left="720"/>
      </w:pPr>
      <w:r/>
      <w:hyperlink r:id="rId14">
        <w:r>
          <w:rPr>
            <w:color w:val="0000EE"/>
            <w:u w:val="single"/>
          </w:rPr>
          <w:t>No relevant source provided</w:t>
        </w:r>
      </w:hyperlink>
      <w:r>
        <w:t xml:space="preserve"> - There is no source provided to corroborate the Capgemini survey on semiconductor supply chain concerns.</w:t>
      </w:r>
      <w:r/>
    </w:p>
    <w:p>
      <w:pPr>
        <w:pStyle w:val="ListNumber"/>
        <w:spacing w:line="240" w:lineRule="auto"/>
        <w:ind w:left="720"/>
      </w:pPr>
      <w:r/>
      <w:hyperlink r:id="rId14">
        <w:r>
          <w:rPr>
            <w:color w:val="0000EE"/>
            <w:u w:val="single"/>
          </w:rPr>
          <w:t>No relevant source provided</w:t>
        </w:r>
      </w:hyperlink>
      <w:r>
        <w:t xml:space="preserve"> - There is no source provided to corroborate the investment activities and funding in the semiconductor and AI sectors, including startups and strategic acquisitions.</w:t>
      </w:r>
      <w:r/>
    </w:p>
    <w:p>
      <w:pPr>
        <w:pStyle w:val="ListNumber"/>
        <w:spacing w:line="240" w:lineRule="auto"/>
        <w:ind w:left="720"/>
      </w:pPr>
      <w:r/>
      <w:hyperlink r:id="rId15">
        <w:r>
          <w:rPr>
            <w:color w:val="0000EE"/>
            <w:u w:val="single"/>
          </w:rPr>
          <w:t>https://semiengineering.com/chip-industry-week-in-review-68/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com.tr/en/economy/global-semiconductor-sales-set-monthly-record-in-november/3444506" TargetMode="External"/><Relationship Id="rId11" Type="http://schemas.openxmlformats.org/officeDocument/2006/relationships/hyperlink" Target="https://www.semimedia.cc/18307.html" TargetMode="External"/><Relationship Id="rId12" Type="http://schemas.openxmlformats.org/officeDocument/2006/relationships/hyperlink" Target="https://www.meritalk.com/articles/commerce-inks-325m-chips-deal-with-hemlock-semiconductor/" TargetMode="External"/><Relationship Id="rId13" Type="http://schemas.openxmlformats.org/officeDocument/2006/relationships/hyperlink" Target="https://www.semiconductordigest.com/the-third-chips-for-america-research-and-development-facility-confirmed-in-arizona/" TargetMode="External"/><Relationship Id="rId14" Type="http://schemas.openxmlformats.org/officeDocument/2006/relationships/hyperlink" Target="No relevant source provided" TargetMode="External"/><Relationship Id="rId15" Type="http://schemas.openxmlformats.org/officeDocument/2006/relationships/hyperlink" Target="https://semiengineering.com/chip-industry-week-in-review-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