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generative AI on investment portfolios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proliferation of Generative Artificial Intelligence (GenAI) in recent years has drastically transformed various sectors, particularly in the realm of investment portfolios. Industry analysts have observed a notable increase in allocations towards GenAI stocks, indicating a strong trend towards integrating AI technologies in business practices.</w:t>
      </w:r>
      <w:r/>
    </w:p>
    <w:p>
      <w:r/>
      <w:r>
        <w:t>Uttam, a well-regarded investment analyst with a focus on technology, has provided insights into the shifting landscape of investments. His analysis extends across multiple sectors, with a keen emphasis on semiconductors, artificial intelligence, and cloud software. Uttam has also delved into other emerging fields such as medical technology, defence technology, and renewable energy, thus illustrating the broader implications of AI automation on diverse industries.</w:t>
      </w:r>
      <w:r/>
    </w:p>
    <w:p>
      <w:r/>
      <w:r>
        <w:t>Uttam's expertise is further enhanced by his background, having previously worked in Silicon Valley, where he held leadership positions at major technology companies including Apple and Google. His experience positions him well to comment on the evolving dynamics of tech investments. Alongside his wife, Amrita Roy, he co-authors "The Pragmatic Optimist Newsletter," which regularly garners attention from leading publications like the Wall Street Journal and Forbes.</w:t>
      </w:r>
      <w:r/>
    </w:p>
    <w:p>
      <w:r/>
      <w:r>
        <w:t>The advancements in AI are not just reshaping investment strategies but also have substantial implications for business operations and practices. As artificial intelligence continues to evolve, businesses must consider how these emerging technologies will impact their competitive edge. Uttam's perspectives indicate a recognition among investors of the potential for AI to enhance productivity and efficiency, driving significant shifts in how firms operate.</w:t>
      </w:r>
      <w:r/>
    </w:p>
    <w:p>
      <w:r/>
      <w:r>
        <w:t>In the backdrop of these developments, it's important to note the careful disclosures made by Uttam and the publication. An assurance of non-involvement in the stock or options market, as well as a caution about the limitations of past performance as indicators of future results, reflects a commitment to transparency in financial reporting.</w:t>
      </w:r>
      <w:r/>
    </w:p>
    <w:p>
      <w:r/>
      <w:r>
        <w:t>As GenAI continues to penetrate various aspects of the market, its role in shaping future business practices will likely remain a central point of discussion among analysts and investors alike. The landscape of AI automation is primed for further exploration as it promises to redefine conventional approaches to efficiency and innovation across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https://www.globenewswire.com/news-release/2025/01/09/3007102/0/en/Dataiku-Unveils-2025-GenAI-Trends-Report.html</w:t>
        </w:r>
      </w:hyperlink>
      <w:r>
        <w:t xml:space="preserve"> - Corroborates the increasing investments in GenAI, with 88% of organizations planning to increase GenAI investments in 2025, and the growing pressure from the C-suite to quantify GenAI ROI.</w:t>
      </w:r>
      <w:r/>
    </w:p>
    <w:p>
      <w:pPr>
        <w:pStyle w:val="ListNumber"/>
        <w:spacing w:line="240" w:lineRule="auto"/>
        <w:ind w:left="720"/>
      </w:pPr>
      <w:r/>
      <w:hyperlink r:id="rId11">
        <w:r>
          <w:rPr>
            <w:color w:val="0000EE"/>
            <w:u w:val="single"/>
          </w:rPr>
          <w:t>https://investingnews.com/top-generative-ai-stocks/</w:t>
        </w:r>
      </w:hyperlink>
      <w:r>
        <w:t xml:space="preserve"> - Supports the trend of increasing allocations towards GenAI stocks and highlights the growth potential of the generative AI market.</w:t>
      </w:r>
      <w:r/>
    </w:p>
    <w:p>
      <w:pPr>
        <w:pStyle w:val="ListNumber"/>
        <w:spacing w:line="240" w:lineRule="auto"/>
        <w:ind w:left="720"/>
      </w:pPr>
      <w:r/>
      <w:hyperlink r:id="rId12">
        <w:r>
          <w:rPr>
            <w:color w:val="0000EE"/>
            <w:u w:val="single"/>
          </w:rPr>
          <w:t>https://www.macquarie.com/au/en/insights/genais-true-value-will-become-clearer-in-2025.html</w:t>
        </w:r>
      </w:hyperlink>
      <w:r>
        <w:t xml:space="preserve"> - Discusses the expected significant impact of GenAI in 2025, including its deployment across multiple use cases and its potential to enhance efficiency and productivity.</w:t>
      </w:r>
      <w:r/>
    </w:p>
    <w:p>
      <w:pPr>
        <w:pStyle w:val="ListNumber"/>
        <w:spacing w:line="240" w:lineRule="auto"/>
        <w:ind w:left="720"/>
      </w:pPr>
      <w:r/>
      <w:hyperlink r:id="rId12">
        <w:r>
          <w:rPr>
            <w:color w:val="0000EE"/>
            <w:u w:val="single"/>
          </w:rPr>
          <w:t>https://www.macquarie.com/au/en/insights/genais-true-value-will-become-clearer-in-2025.html</w:t>
        </w:r>
      </w:hyperlink>
      <w:r>
        <w:t xml:space="preserve"> - Highlights the importance of identifying targeted use cases for GenAI to maximize strategic impact and growth, and the rapid transition through the Gartner Hype Cycle.</w:t>
      </w:r>
      <w:r/>
    </w:p>
    <w:p>
      <w:pPr>
        <w:pStyle w:val="ListNumber"/>
        <w:spacing w:line="240" w:lineRule="auto"/>
        <w:ind w:left="720"/>
      </w:pPr>
      <w:r/>
      <w:hyperlink r:id="rId13">
        <w:r>
          <w:rPr>
            <w:color w:val="0000EE"/>
            <w:u w:val="single"/>
          </w:rPr>
          <w:t>https://www.mossadams.com/articles/2024/10/the-state-of-ai-and-investment-trends</w:t>
        </w:r>
      </w:hyperlink>
      <w:r>
        <w:t xml:space="preserve"> - Details the rapid transformation in GenAI investments, the dominance of venture capital, and the expansion of GenAI into diverse sectors such as healthcare and robotics.</w:t>
      </w:r>
      <w:r/>
    </w:p>
    <w:p>
      <w:pPr>
        <w:pStyle w:val="ListNumber"/>
        <w:spacing w:line="240" w:lineRule="auto"/>
        <w:ind w:left="720"/>
      </w:pPr>
      <w:r/>
      <w:hyperlink r:id="rId13">
        <w:r>
          <w:rPr>
            <w:color w:val="0000EE"/>
            <w:u w:val="single"/>
          </w:rPr>
          <w:t>https://www.mossadams.com/articles/2024/10/the-state-of-ai-and-investment-trends</w:t>
        </w:r>
      </w:hyperlink>
      <w:r>
        <w:t xml:space="preserve"> - Addresses the concerns about sustainability and infrastructure strain, as well as legal and regulatory challenges posed by the rapid expansion of GenAI.</w:t>
      </w:r>
      <w:r/>
    </w:p>
    <w:p>
      <w:pPr>
        <w:pStyle w:val="ListNumber"/>
        <w:spacing w:line="240" w:lineRule="auto"/>
        <w:ind w:left="720"/>
      </w:pPr>
      <w:r/>
      <w:hyperlink r:id="rId10">
        <w:r>
          <w:rPr>
            <w:color w:val="0000EE"/>
            <w:u w:val="single"/>
          </w:rPr>
          <w:t>https://www.globenewswire.com/news-release/2025/01/09/3007102/0/en/Dataiku-Unveils-2025-GenAI-Trends-Report.html</w:t>
        </w:r>
      </w:hyperlink>
      <w:r>
        <w:t xml:space="preserve"> - Mentions the adoption of a hybrid approach to managing multiple large language models (LLMs) and the concerns about data privacy breaches as GenAI adoption accelerates.</w:t>
      </w:r>
      <w:r/>
    </w:p>
    <w:p>
      <w:pPr>
        <w:pStyle w:val="ListNumber"/>
        <w:spacing w:line="240" w:lineRule="auto"/>
        <w:ind w:left="720"/>
      </w:pPr>
      <w:r/>
      <w:hyperlink r:id="rId11">
        <w:r>
          <w:rPr>
            <w:color w:val="0000EE"/>
            <w:u w:val="single"/>
          </w:rPr>
          <w:t>https://investingnews.com/top-generative-ai-stocks/</w:t>
        </w:r>
      </w:hyperlink>
      <w:r>
        <w:t xml:space="preserve"> - Lists tech giants offering exposure to generative AI, which aligns with the integration of AI technologies in various business practices.</w:t>
      </w:r>
      <w:r/>
    </w:p>
    <w:p>
      <w:pPr>
        <w:pStyle w:val="ListNumber"/>
        <w:spacing w:line="240" w:lineRule="auto"/>
        <w:ind w:left="720"/>
      </w:pPr>
      <w:r/>
      <w:hyperlink r:id="rId12">
        <w:r>
          <w:rPr>
            <w:color w:val="0000EE"/>
            <w:u w:val="single"/>
          </w:rPr>
          <w:t>https://www.macquarie.com/au/en/insights/genais-true-value-will-become-clearer-in-2025.html</w:t>
        </w:r>
      </w:hyperlink>
      <w:r>
        <w:t xml:space="preserve"> - Discusses the impact of GenAI on investment and acquisition decisions, reflecting the technology's critical role in business strategies.</w:t>
      </w:r>
      <w:r/>
    </w:p>
    <w:p>
      <w:pPr>
        <w:pStyle w:val="ListNumber"/>
        <w:spacing w:line="240" w:lineRule="auto"/>
        <w:ind w:left="720"/>
      </w:pPr>
      <w:r/>
      <w:hyperlink r:id="rId13">
        <w:r>
          <w:rPr>
            <w:color w:val="0000EE"/>
            <w:u w:val="single"/>
          </w:rPr>
          <w:t>https://www.mossadams.com/articles/2024/10/the-state-of-ai-and-investment-trends</w:t>
        </w:r>
      </w:hyperlink>
      <w:r>
        <w:t xml:space="preserve"> - Highlights the global nature of GenAI investments, involving major tech firms and international institutions, and the strategic shifts in investment and corporate strategies.</w:t>
      </w:r>
      <w:r/>
    </w:p>
    <w:p>
      <w:pPr>
        <w:pStyle w:val="ListNumber"/>
        <w:spacing w:line="240" w:lineRule="auto"/>
        <w:ind w:left="720"/>
      </w:pPr>
      <w:r/>
      <w:hyperlink r:id="rId12">
        <w:r>
          <w:rPr>
            <w:color w:val="0000EE"/>
            <w:u w:val="single"/>
          </w:rPr>
          <w:t>https://www.macquarie.com/au/en/insights/genais-true-value-will-become-clearer-in-2025.html</w:t>
        </w:r>
      </w:hyperlink>
      <w:r>
        <w:t xml:space="preserve"> - Emphasizes the importance of measuring the impact of GenAI and the challenges in estimating and demonstrating the value of AI projects.</w:t>
      </w:r>
      <w:r/>
    </w:p>
    <w:p>
      <w:pPr>
        <w:pStyle w:val="ListNumber"/>
        <w:spacing w:line="240" w:lineRule="auto"/>
        <w:ind w:left="720"/>
      </w:pPr>
      <w:r/>
      <w:hyperlink r:id="rId14">
        <w:r>
          <w:rPr>
            <w:color w:val="0000EE"/>
            <w:u w:val="single"/>
          </w:rPr>
          <w:t>https://seekingalpha.com/article/4748553-astera-labs-the-switzerland-of-ai-networks-defying-status-quo?source=feed_all_articles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1/09/3007102/0/en/Dataiku-Unveils-2025-GenAI-Trends-Report.html" TargetMode="External"/><Relationship Id="rId11" Type="http://schemas.openxmlformats.org/officeDocument/2006/relationships/hyperlink" Target="https://investingnews.com/top-generative-ai-stocks/" TargetMode="External"/><Relationship Id="rId12" Type="http://schemas.openxmlformats.org/officeDocument/2006/relationships/hyperlink" Target="https://www.macquarie.com/au/en/insights/genais-true-value-will-become-clearer-in-2025.html" TargetMode="External"/><Relationship Id="rId13" Type="http://schemas.openxmlformats.org/officeDocument/2006/relationships/hyperlink" Target="https://www.mossadams.com/articles/2024/10/the-state-of-ai-and-investment-trends" TargetMode="External"/><Relationship Id="rId14" Type="http://schemas.openxmlformats.org/officeDocument/2006/relationships/hyperlink" Target="https://seekingalpha.com/article/4748553-astera-labs-the-switzerland-of-ai-networks-defying-status-quo?source=feed_all_artic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