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The resilience of Bangladesh's garment industry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8470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470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Article Framework: The Resilience of Bangladesh's Garment Industry</w:t>
      </w:r>
      <w:r/>
    </w:p>
    <w:p>
      <w:pPr>
        <w:pStyle w:val="Heading2"/>
      </w:pPr>
      <w:r>
        <w:t>Introduction</w:t>
      </w:r>
      <w:r/>
      <w:r/>
    </w:p>
    <w:p>
      <w:pPr>
        <w:pStyle w:val="ListBullet"/>
        <w:spacing w:line="240" w:lineRule="auto"/>
        <w:ind w:left="720"/>
      </w:pPr>
      <w:r/>
      <w:r>
        <w:t>Brief overview of Bangladesh's garment industry:</w:t>
      </w:r>
      <w:r/>
    </w:p>
    <w:p>
      <w:pPr>
        <w:pStyle w:val="ListBullet"/>
        <w:spacing w:line="240" w:lineRule="auto"/>
        <w:ind w:left="720"/>
      </w:pPr>
      <w:r/>
      <w:r>
        <w:t>Significance as a cornerstone of the global apparel market.</w:t>
      </w:r>
      <w:r/>
    </w:p>
    <w:p>
      <w:pPr>
        <w:pStyle w:val="ListBullet"/>
        <w:spacing w:line="240" w:lineRule="auto"/>
        <w:ind w:left="720"/>
      </w:pPr>
      <w:r/>
      <w:r>
        <w:t>Economic contribution: over $38 billion annually.</w:t>
      </w:r>
      <w:r/>
    </w:p>
    <w:p>
      <w:pPr>
        <w:pStyle w:val="ListBullet"/>
        <w:spacing w:line="240" w:lineRule="auto"/>
        <w:ind w:left="720"/>
      </w:pPr>
      <w:r/>
      <w:r>
        <w:t>Employment impact: millions of jobs.</w:t>
      </w:r>
      <w:r/>
    </w:p>
    <w:p>
      <w:pPr>
        <w:pStyle w:val="ListBullet"/>
        <w:spacing w:line="240" w:lineRule="auto"/>
        <w:ind w:left="720"/>
      </w:pPr>
      <w:r/>
      <w:r>
        <w:t>Contextual background:</w:t>
      </w:r>
      <w:r/>
    </w:p>
    <w:p>
      <w:pPr>
        <w:pStyle w:val="ListBullet"/>
        <w:spacing w:line="240" w:lineRule="auto"/>
        <w:ind w:left="720"/>
      </w:pPr>
      <w:r/>
      <w:r>
        <w:t>Discussion of geopolitical uncertainties, economic shifts, and internal challenges.</w:t>
      </w:r>
      <w:r/>
    </w:p>
    <w:p>
      <w:pPr>
        <w:pStyle w:val="ListBullet"/>
        <w:spacing w:line="240" w:lineRule="auto"/>
        <w:ind w:left="720"/>
      </w:pPr>
      <w:r/>
      <w:r>
        <w:t>Emphasis on the industry's resilience through innovation and sustainability.</w:t>
      </w:r>
      <w:r/>
      <w:r/>
    </w:p>
    <w:p>
      <w:pPr>
        <w:pStyle w:val="Heading2"/>
      </w:pPr>
      <w:r>
        <w:t>Export Growth Amid Geopolitical Challenges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Subheading:</w:t>
      </w:r>
      <w:r>
        <w:t xml:space="preserve"> Sustained Export Performance</w:t>
      </w:r>
      <w:r/>
    </w:p>
    <w:p>
      <w:pPr>
        <w:pStyle w:val="ListBullet"/>
        <w:spacing w:line="240" w:lineRule="auto"/>
        <w:ind w:left="720"/>
      </w:pPr>
      <w:r/>
      <w:r>
        <w:t>Key facts about export growth statistics (e.g., 6.4% increase in exports to Russia in 2023).</w:t>
      </w:r>
      <w:r/>
    </w:p>
    <w:p>
      <w:pPr>
        <w:pStyle w:val="ListBullet"/>
        <w:spacing w:line="240" w:lineRule="auto"/>
        <w:ind w:left="720"/>
      </w:pPr>
      <w:r/>
      <w:r>
        <w:t>Analysis of how the sector navigates geopolitical issues (e.g., impact of the Ukraine war).</w:t>
      </w:r>
      <w:r/>
    </w:p>
    <w:p>
      <w:pPr>
        <w:pStyle w:val="ListBullet"/>
        <w:spacing w:line="240" w:lineRule="auto"/>
        <w:ind w:left="720"/>
      </w:pPr>
      <w:r/>
      <w:r>
        <w:t>Graph description:</w:t>
      </w:r>
      <w:r/>
    </w:p>
    <w:p>
      <w:pPr>
        <w:pStyle w:val="ListBullet"/>
        <w:spacing w:line="240" w:lineRule="auto"/>
        <w:ind w:left="1440"/>
      </w:pPr>
      <w:r/>
      <w:r>
        <w:t>Export growth to Russia from 2020-2023.</w:t>
      </w:r>
      <w:r/>
    </w:p>
    <w:p>
      <w:pPr>
        <w:pStyle w:val="ListBullet"/>
        <w:spacing w:line="240" w:lineRule="auto"/>
        <w:ind w:left="1440"/>
      </w:pPr>
      <w:r/>
      <w:r>
        <w:t>Key details on graph (blue line representing export values in millions of USD, red dashed line for growth percentage).</w:t>
      </w:r>
      <w:r/>
      <w:r/>
      <w:r/>
      <w:r/>
    </w:p>
    <w:p>
      <w:pPr>
        <w:pStyle w:val="Heading2"/>
      </w:pPr>
      <w:r>
        <w:t>Gender Inclusivity and Workforce Dynamics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Subheading:</w:t>
      </w:r>
      <w:r>
        <w:t xml:space="preserve"> Challenges in Gender Equality</w:t>
      </w:r>
      <w:r/>
    </w:p>
    <w:p>
      <w:pPr>
        <w:pStyle w:val="ListBullet"/>
        <w:spacing w:line="240" w:lineRule="auto"/>
        <w:ind w:left="720"/>
      </w:pPr>
      <w:r/>
      <w:r>
        <w:t>Current statistics on female workforce participation (decline to 53%).</w:t>
      </w:r>
      <w:r/>
    </w:p>
    <w:p>
      <w:pPr>
        <w:pStyle w:val="ListBullet"/>
        <w:spacing w:line="240" w:lineRule="auto"/>
        <w:ind w:left="720"/>
      </w:pPr>
      <w:r/>
      <w:r>
        <w:t>Discussion of broader societal trends affecting workforce demographics.</w:t>
      </w:r>
      <w:r/>
    </w:p>
    <w:p>
      <w:pPr>
        <w:pStyle w:val="ListBullet"/>
        <w:spacing w:line="240" w:lineRule="auto"/>
        <w:ind w:left="720"/>
      </w:pPr>
      <w:r/>
      <w:r>
        <w:t>Initiatives by leading companies to promote gender inclusivity:</w:t>
      </w:r>
      <w:r/>
    </w:p>
    <w:p>
      <w:pPr>
        <w:pStyle w:val="ListBullet"/>
        <w:spacing w:line="240" w:lineRule="auto"/>
        <w:ind w:left="1440"/>
      </w:pPr>
      <w:r/>
      <w:r>
        <w:t>Investments in working conditions.</w:t>
      </w:r>
      <w:r/>
    </w:p>
    <w:p>
      <w:pPr>
        <w:pStyle w:val="ListBullet"/>
        <w:spacing w:line="240" w:lineRule="auto"/>
        <w:ind w:left="1440"/>
      </w:pPr>
      <w:r/>
      <w:r>
        <w:t>Training programs and equitable policies.</w:t>
      </w:r>
      <w:r/>
      <w:r/>
      <w:r/>
      <w:r/>
    </w:p>
    <w:p>
      <w:pPr>
        <w:pStyle w:val="Heading2"/>
      </w:pPr>
      <w:r>
        <w:t>Pivoting to Value-Added Garments and Sustainability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Subheading:</w:t>
      </w:r>
      <w:r>
        <w:t xml:space="preserve"> Shift in Production Focus</w:t>
      </w:r>
      <w:r/>
    </w:p>
    <w:p>
      <w:pPr>
        <w:pStyle w:val="ListBullet"/>
        <w:spacing w:line="240" w:lineRule="auto"/>
        <w:ind w:left="720"/>
      </w:pPr>
      <w:r/>
      <w:r>
        <w:t>Discussion of the shift toward value-added garments due to changing consumer preferences.</w:t>
      </w:r>
      <w:r/>
    </w:p>
    <w:p>
      <w:pPr>
        <w:pStyle w:val="ListBullet"/>
        <w:spacing w:line="240" w:lineRule="auto"/>
        <w:ind w:left="720"/>
      </w:pPr>
      <w:r/>
      <w:r>
        <w:t>Emphasis on buyers' willingness to pay for sustainable and ethical products.</w:t>
      </w:r>
      <w:r/>
    </w:p>
    <w:p>
      <w:pPr>
        <w:pStyle w:val="ListBullet"/>
        <w:spacing w:line="240" w:lineRule="auto"/>
        <w:ind w:left="720"/>
      </w:pPr>
      <w:r/>
      <w:r>
        <w:t>Key statistics:</w:t>
      </w:r>
      <w:r/>
    </w:p>
    <w:p>
      <w:pPr>
        <w:pStyle w:val="ListBullet"/>
        <w:spacing w:line="240" w:lineRule="auto"/>
        <w:ind w:left="1440"/>
      </w:pPr>
      <w:r/>
      <w:r>
        <w:t>Increased demand for value-added garments (50% increase over five years).</w:t>
      </w:r>
      <w:r/>
    </w:p>
    <w:p>
      <w:pPr>
        <w:pStyle w:val="ListBullet"/>
        <w:spacing w:line="240" w:lineRule="auto"/>
        <w:ind w:left="1440"/>
      </w:pPr>
      <w:r/>
      <w:r>
        <w:t>Investment in green technologies and eco-friendly manufacturing processes.</w:t>
      </w:r>
      <w:r/>
      <w:r/>
      <w:r/>
      <w:r/>
    </w:p>
    <w:p>
      <w:pPr>
        <w:pStyle w:val="Heading2"/>
      </w:pPr>
      <w:r>
        <w:t>Living Wages and Worker Welfare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Subheading:</w:t>
      </w:r>
      <w:r>
        <w:t xml:space="preserve"> The Challenge of Living Wages</w:t>
      </w:r>
      <w:r/>
    </w:p>
    <w:p>
      <w:pPr>
        <w:pStyle w:val="ListBullet"/>
        <w:spacing w:line="240" w:lineRule="auto"/>
        <w:ind w:left="720"/>
      </w:pPr>
      <w:r/>
      <w:r>
        <w:t>Overview of the living wage issue in the garment sector.</w:t>
      </w:r>
      <w:r/>
    </w:p>
    <w:p>
      <w:pPr>
        <w:pStyle w:val="ListBullet"/>
        <w:spacing w:line="240" w:lineRule="auto"/>
        <w:ind w:left="720"/>
      </w:pPr>
      <w:r/>
      <w:r>
        <w:t>Pressure faced by the industry to meet international labour standards.</w:t>
      </w:r>
      <w:r/>
    </w:p>
    <w:p>
      <w:pPr>
        <w:pStyle w:val="ListBullet"/>
        <w:spacing w:line="240" w:lineRule="auto"/>
        <w:ind w:left="720"/>
      </w:pPr>
      <w:r/>
      <w:r>
        <w:t>Actions taken by companies to implement living wage policies:</w:t>
      </w:r>
      <w:r/>
    </w:p>
    <w:p>
      <w:pPr>
        <w:pStyle w:val="ListBullet"/>
        <w:spacing w:line="240" w:lineRule="auto"/>
        <w:ind w:left="1440"/>
      </w:pPr>
      <w:r/>
      <w:r>
        <w:t>Improvements in worker welfare and conditions.</w:t>
      </w:r>
      <w:r/>
    </w:p>
    <w:p>
      <w:pPr>
        <w:pStyle w:val="ListBullet"/>
        <w:spacing w:line="240" w:lineRule="auto"/>
        <w:ind w:left="1440"/>
      </w:pPr>
      <w:r/>
      <w:r>
        <w:t>Enhanced reputational benefits among global buyers.</w:t>
      </w:r>
      <w:r/>
      <w:r/>
      <w:r/>
    </w:p>
    <w:p>
      <w:pPr>
        <w:pStyle w:val="ListBullet"/>
        <w:spacing w:line="240" w:lineRule="auto"/>
        <w:ind w:left="720"/>
      </w:pPr>
      <w:r/>
      <w:r>
        <w:t>Graph description:</w:t>
      </w:r>
      <w:r/>
    </w:p>
    <w:p>
      <w:pPr>
        <w:pStyle w:val="ListBullet"/>
        <w:spacing w:line="240" w:lineRule="auto"/>
        <w:ind w:left="1440"/>
      </w:pPr>
      <w:r/>
      <w:r>
        <w:t>Comparison between average garment worker wage and cost of living for 2023-2024.</w:t>
      </w:r>
      <w:r/>
      <w:r/>
      <w:r/>
      <w:r/>
    </w:p>
    <w:p>
      <w:pPr>
        <w:pStyle w:val="Heading2"/>
      </w:pPr>
      <w:r>
        <w:t>Looking to the Future: Adaptation and Resilience</w:t>
      </w:r>
      <w:r/>
      <w:r/>
    </w:p>
    <w:p>
      <w:pPr>
        <w:pStyle w:val="ListBullet"/>
        <w:spacing w:line="240" w:lineRule="auto"/>
        <w:ind w:left="720"/>
      </w:pPr>
      <w:r/>
      <w:r>
        <w:rPr>
          <w:b/>
        </w:rPr>
        <w:t>Subheading:</w:t>
      </w:r>
      <w:r>
        <w:t xml:space="preserve"> Long-Term Growth Prospects</w:t>
      </w:r>
      <w:r/>
    </w:p>
    <w:p>
      <w:pPr>
        <w:pStyle w:val="ListBullet"/>
        <w:spacing w:line="240" w:lineRule="auto"/>
        <w:ind w:left="720"/>
      </w:pPr>
      <w:r/>
      <w:r>
        <w:t>Discussion on ongoing investments in automation and sustainability.</w:t>
      </w:r>
      <w:r/>
    </w:p>
    <w:p>
      <w:pPr>
        <w:pStyle w:val="ListBullet"/>
        <w:spacing w:line="240" w:lineRule="auto"/>
        <w:ind w:left="720"/>
      </w:pPr>
      <w:r/>
      <w:r>
        <w:t>Future outlook for the garment industry with a focus on ethical production.</w:t>
      </w:r>
      <w:r/>
    </w:p>
    <w:p>
      <w:pPr>
        <w:pStyle w:val="ListBullet"/>
        <w:spacing w:line="240" w:lineRule="auto"/>
        <w:ind w:left="720"/>
      </w:pPr>
      <w:r/>
      <w:r>
        <w:t>Real-world example of resilience:</w:t>
      </w:r>
      <w:r/>
    </w:p>
    <w:p>
      <w:pPr>
        <w:pStyle w:val="ListBullet"/>
        <w:spacing w:line="240" w:lineRule="auto"/>
        <w:ind w:left="1440"/>
      </w:pPr>
      <w:r/>
      <w:r>
        <w:t>Highlighting the 6.4% growth in garment exports to Russia despite uncertainties.</w:t>
      </w:r>
      <w:r/>
      <w:r/>
      <w:r/>
      <w:r/>
    </w:p>
    <w:p>
      <w:pPr>
        <w:pStyle w:val="Heading2"/>
      </w:pPr>
      <w:r>
        <w:t>Conclusion</w:t>
      </w:r>
      <w:r/>
      <w:r/>
    </w:p>
    <w:p>
      <w:pPr>
        <w:pStyle w:val="ListBullet"/>
        <w:spacing w:line="240" w:lineRule="auto"/>
        <w:ind w:left="720"/>
      </w:pPr>
      <w:r/>
      <w:r>
        <w:t>Summary of key points:</w:t>
      </w:r>
      <w:r/>
    </w:p>
    <w:p>
      <w:pPr>
        <w:pStyle w:val="ListBullet"/>
        <w:spacing w:line="240" w:lineRule="auto"/>
        <w:ind w:left="720"/>
      </w:pPr>
      <w:r/>
      <w:r>
        <w:t>Innovation, adaptation, and embrace of sustainability as core strengths.</w:t>
      </w:r>
      <w:r/>
    </w:p>
    <w:p>
      <w:pPr>
        <w:pStyle w:val="ListBullet"/>
        <w:spacing w:line="240" w:lineRule="auto"/>
        <w:ind w:left="720"/>
      </w:pPr>
      <w:r/>
      <w:r>
        <w:t>Potential implications for the global market.</w:t>
      </w:r>
      <w:r/>
    </w:p>
    <w:p>
      <w:pPr>
        <w:pStyle w:val="ListBullet"/>
        <w:spacing w:line="240" w:lineRule="auto"/>
        <w:ind w:left="720"/>
      </w:pPr>
      <w:r/>
      <w:r>
        <w:t>Future developments to watch:</w:t>
      </w:r>
      <w:r/>
    </w:p>
    <w:p>
      <w:pPr>
        <w:pStyle w:val="ListBullet"/>
        <w:spacing w:line="240" w:lineRule="auto"/>
        <w:ind w:left="720"/>
      </w:pPr>
      <w:r/>
      <w:r>
        <w:t>Continued investments leading to sustained success.</w:t>
      </w:r>
      <w:r/>
    </w:p>
    <w:p>
      <w:pPr>
        <w:pStyle w:val="ListBullet"/>
        <w:spacing w:line="240" w:lineRule="auto"/>
        <w:ind w:left="720"/>
      </w:pPr>
      <w:r/>
      <w:r>
        <w:t xml:space="preserve">Role of Bangladesh in leading quality and sustainable production practices. </w:t>
      </w:r>
      <w:r/>
      <w:r/>
    </w:p>
    <w:p>
      <w:r/>
      <w:r>
        <w:rPr>
          <w:b/>
        </w:rPr>
        <w:t>Author Information</w:t>
      </w:r>
      <w:r>
        <w:t>- Name: Farhana Afroze Shraboni - Position: Assistant Manager - Organisation: Fast Track Sourcing FZC LLC</w:t>
      </w:r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https://rmgbd.net/2025/01/2025-starts-with-a-great-vibe-for-textile-and-apparel-industry/</w:t>
        </w:r>
      </w:hyperlink>
      <w:r>
        <w:t xml:space="preserve"> - Corroborates the significance of Bangladesh's garment industry, its economic contribution, and recent export growth statistics.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https://www.hopstack.io/newsletter/how-bangladeshs-political-turmoil-impacts-global-apparel-supply-chain</w:t>
        </w:r>
      </w:hyperlink>
      <w:r>
        <w:t xml:space="preserve"> - Discusses the geopolitical uncertainties, economic shifts, and internal challenges faced by the Bangladeshi garment industry, including the impact of political turmoil on global supply chains.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https://www.just-style.com/news/bangladesh-apparel-sector-targets-10-market-share-by-2025/</w:t>
        </w:r>
      </w:hyperlink>
      <w:r>
        <w:t xml:space="preserve"> - Provides details on the economic contribution of the garment industry, employment impact, and future growth targets, including the aim for a 10% global market share by 2025.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https://arc-group.com/bangladesh-apparel-industry/</w:t>
        </w:r>
      </w:hyperlink>
      <w:r>
        <w:t xml:space="preserve"> - Highlights the challenges faced by the Bangladeshi garment industry due to political instability and labor issues, and the need to address these to stay competitive.</w:t>
      </w:r>
      <w:r/>
    </w:p>
    <w:p>
      <w:pPr>
        <w:pStyle w:val="ListNumber"/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https://rmgbd.net/2025/01/2025-starts-with-a-great-vibe-for-textile-and-apparel-industry/</w:t>
        </w:r>
      </w:hyperlink>
      <w:r>
        <w:t xml:space="preserve"> - Mentions the impact of geopolitical issues, such as the proposed tariffs by Donald Trump, on the garment export sector and potential opportunities for Bangladesh.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https://www.hopstack.io/newsletter/how-bangladeshs-political-turmoil-impacts-global-apparel-supply-chain</w:t>
        </w:r>
      </w:hyperlink>
      <w:r>
        <w:t xml:space="preserve"> - Analyzes how the sector navigates geopolitical issues, including the impact of the Ukraine war and other global events on export performance.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https://www.just-style.com/news/bangladesh-apparel-sector-targets-10-market-share-by-2025/</w:t>
        </w:r>
      </w:hyperlink>
      <w:r>
        <w:t xml:space="preserve"> - Discusses initiatives by the Bangladesh Garment Manufacturers and Exporters Association (BGMEA) to promote sustainability and innovation, which aligns with the shift toward value-added garments.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https://arc-group.com/bangladesh-apparel-industry/</w:t>
        </w:r>
      </w:hyperlink>
      <w:r>
        <w:t xml:space="preserve"> - Highlights the need for investments in sustainability and addressing labor conditions to meet international labor standards and ensure worker welfare.</w:t>
      </w:r>
      <w:r/>
    </w:p>
    <w:p>
      <w:pPr>
        <w:pStyle w:val="ListNumber"/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https://rmgbd.net/2025/01/2025-starts-with-a-great-vibe-for-textile-and-apparel-industry/</w:t>
        </w:r>
      </w:hyperlink>
      <w:r>
        <w:t xml:space="preserve"> - Provides context on the industry's resilience through innovation and sustainability, including the rebound in garment exports to major markets like the EU and the US.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https://www.just-style.com/news/bangladesh-apparel-sector-targets-10-market-share-by-2025/</w:t>
        </w:r>
      </w:hyperlink>
      <w:r>
        <w:t xml:space="preserve"> - Details the long-term growth prospects and ongoing investments in automation and sustainability, ensuring the industry's future resilience.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https://arc-group.com/bangladesh-apparel-industry/</w:t>
        </w:r>
      </w:hyperlink>
      <w:r>
        <w:t xml:space="preserve"> - Offers a real-world example of the industry's resilience, such as the shift in sourcing strategies by major fashion brands and the need for Bangladesh to adapt.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https://textilefocus.com/bangladeshs-garment-industry-navigating-challenges-and-embracing-innovation/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rmgbd.net/2025/01/2025-starts-with-a-great-vibe-for-textile-and-apparel-industry/" TargetMode="External"/><Relationship Id="rId10" Type="http://schemas.openxmlformats.org/officeDocument/2006/relationships/hyperlink" Target="https://www.hopstack.io/newsletter/how-bangladeshs-political-turmoil-impacts-global-apparel-supply-chain" TargetMode="External"/><Relationship Id="rId11" Type="http://schemas.openxmlformats.org/officeDocument/2006/relationships/hyperlink" Target="https://www.just-style.com/news/bangladesh-apparel-sector-targets-10-market-share-by-2025/" TargetMode="External"/><Relationship Id="rId12" Type="http://schemas.openxmlformats.org/officeDocument/2006/relationships/hyperlink" Target="https://arc-group.com/bangladesh-apparel-industry/" TargetMode="External"/><Relationship Id="rId13" Type="http://schemas.openxmlformats.org/officeDocument/2006/relationships/hyperlink" Target="https://textilefocus.com/bangladeshs-garment-industry-navigating-challenges-and-embracing-innovation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