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pStyle w:val="Heading1"/>
      </w:pPr>
      <w:r>
        <w:t>Namirial acquires Digital Technologies to bolster digital transaction management offerings</w:t>
      </w:r>
      <w:r/>
    </w:p>
    <w:p>
      <w:r/>
      <w:r/>
    </w:p>
    <w:p>
      <w:r>
        <w:drawing>
          <wp:inline xmlns:a="http://schemas.openxmlformats.org/drawingml/2006/main" xmlns:pic="http://schemas.openxmlformats.org/drawingml/2006/picture">
            <wp:extent cx="5080000" cy="290285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90285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/>
      <w:r>
        <w:t>Fintech platform Namirial has announced its acquisition of Digital Technologies, a prominent player in digital transaction management software. This acquisition, which focuses on document workflow hyper-automation and invoicing, marks Namirial's sixth acquisition within Europe's digital transaction management sector. The terms of the deal were not disclosed.</w:t>
      </w:r>
      <w:r/>
    </w:p>
    <w:p>
      <w:r/>
      <w:r>
        <w:t>Namirial, headquartered in Trezzano sul Naviglio, Italy, itself underwent a significant acquisition by the investment firm Ambienta in May 2020. The addition of Digital Technologies is expected to enhance Namirial's offerings significantly.</w:t>
      </w:r>
      <w:r/>
    </w:p>
    <w:p>
      <w:r/>
      <w:r>
        <w:t>Digital Technologies provides services aimed at large corporations across various industrial sectors, facilitating the digitalisation and automation of finance, legal, and supply-chain business processes. The company's solutions include automating document workflows, e-invoicing, and offering digital trust solutions such as digital signatures, digital archiving, and e-payments. This aligns closely with current trends in AI automation, where businesses are increasingly seeking to streamline operations and embrace digital transformation.</w:t>
      </w:r>
      <w:r/>
    </w:p>
    <w:p>
      <w:r/>
      <w:r>
        <w:t>With this acquisition, Namirial aims to leverage the capabilities of Digital Technologies’ e-invoicing hub, which operates across multiple international jurisdictions. This effectively covers all countries within Europe, South America, and Asia that have adopted e-invoicing solutions. In France, Digital Technologies is recognised as an established Partner Dematerialisation Platform, contributing additional strength to Namirial's e-invoicing capabilities.</w:t>
      </w:r>
      <w:r/>
    </w:p>
    <w:p>
      <w:r/>
      <w:r>
        <w:t>The client base of Digital Technologies primarily consists of large multinational corporations that require a highly automated and regulation-compliant electronic invoicing platform capable of operating on a global scale. As businesses increasingly adopt automation technologies, acquisitions such as Namirial's could signify a shift in how financial and transactional processes are managed, fostering efficiency and compliance in an evolving digital landscape.</w:t>
      </w:r>
      <w:r/>
    </w:p>
    <w:p>
      <w:r/>
      <w:r>
        <w:t xml:space="preserve">Source: </w:t>
      </w:r>
      <w:hyperlink r:id="rId9">
        <w:r>
          <w:rPr>
            <w:color w:val="0000EE"/>
            <w:u w:val="single"/>
          </w:rPr>
          <w:t>Noah Wire Services</w:t>
        </w:r>
      </w:hyperlink>
      <w:r/>
    </w:p>
    <w:p>
      <w:pPr>
        <w:pStyle w:val="Heading2"/>
      </w:pPr>
      <w:r>
        <w:t>Bibliography</w:t>
      </w:r>
      <w:r/>
      <w:r/>
    </w:p>
    <w:p>
      <w:pPr>
        <w:pStyle w:val="ListNumber"/>
        <w:numPr>
          <w:ilvl w:val="0"/>
          <w:numId w:val="14"/>
        </w:numPr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https://tech.eu/2025/01/16/namirial-acquires-digital-technologies/</w:t>
        </w:r>
      </w:hyperlink>
      <w:r>
        <w:t xml:space="preserve"> - Corroborates the acquisition of Digital Technologies by Namirial, focusing on document workflow hyper-automation and invoicing, and marks Namirial's sixth acquisition in Europe's digital transaction management sector.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https://www.namirial.com/en/news/ambienta-completes-the-acquisition-of-namirial/</w:t>
        </w:r>
      </w:hyperlink>
      <w:r>
        <w:t xml:space="preserve"> - Confirms Namirial's acquisition by Ambienta in May 2020 and provides context on Namirial's background and operations.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https://tech.eu/2025/01/16/namirial-acquires-digital-technologies/</w:t>
        </w:r>
      </w:hyperlink>
      <w:r>
        <w:t xml:space="preserve"> - Details the services provided by Digital Technologies, including automation of document workflows, e-invoicing, and digital trust solutions like digital signatures and e-payments.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https://www.namirial.com/en/news/namirial-acquisition-netheos/</w:t>
        </w:r>
      </w:hyperlink>
      <w:r>
        <w:t xml:space="preserve"> - Provides context on Namirial's expansion and acquisition strategy, aligning with the trend of digital transformation and AI automation.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https://tech.eu/2025/01/16/namirial-acquires-digital-technologies/</w:t>
        </w:r>
      </w:hyperlink>
      <w:r>
        <w:t xml:space="preserve"> - Explains how the acquisition of Digital Technologies enhances Namirial's e-invoicing capabilities across multiple international jurisdictions, including Europe, South America, and Asia.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https://tech.eu/2025/01/16/namirial-acquires-digital-technologies/</w:t>
        </w:r>
      </w:hyperlink>
      <w:r>
        <w:t xml:space="preserve"> - Mentions Digital Technologies' recognition as an established Partner Dematerialisation Platform in France, contributing to Namirial's e-invoicing strength.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https://www.namirial.com/en/news/namirial-acquisition-netheos/</w:t>
        </w:r>
      </w:hyperlink>
      <w:r>
        <w:t xml:space="preserve"> - Highlights the client base of Digital Technologies, which consists of large multinational corporations requiring automated and regulation-compliant electronic invoicing platforms.</w:t>
      </w:r>
      <w:r/>
    </w:p>
    <w:p>
      <w:pPr>
        <w:pStyle w:val="ListNumber"/>
        <w:spacing w:line="240" w:lineRule="auto"/>
        <w:ind w:left="720"/>
      </w:pPr>
      <w:r/>
      <w:hyperlink r:id="rId11">
        <w:r>
          <w:rPr>
            <w:color w:val="0000EE"/>
            <w:u w:val="single"/>
          </w:rPr>
          <w:t>https://www.namirial.com/en/news/ambienta-completes-the-acquisition-of-namirial/</w:t>
        </w:r>
      </w:hyperlink>
      <w:r>
        <w:t xml:space="preserve"> - Describes Namirial's focus on digital transformation and its ability to serve large businesses and SMEs, aligning with the trend of adopting automation technologies.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https://www.namirial.com/en/news/namirial-acquisition-netheos/</w:t>
        </w:r>
      </w:hyperlink>
      <w:r>
        <w:t xml:space="preserve"> - Details the strategic benefits of Namirial's acquisitions, including enhanced capabilities and expanded market presence, which foster efficiency and compliance in digital processes.</w:t>
      </w:r>
      <w:r/>
    </w:p>
    <w:p>
      <w:pPr>
        <w:pStyle w:val="ListNumber"/>
        <w:spacing w:line="240" w:lineRule="auto"/>
        <w:ind w:left="720"/>
      </w:pPr>
      <w:r/>
      <w:hyperlink r:id="rId13">
        <w:r>
          <w:rPr>
            <w:color w:val="0000EE"/>
            <w:u w:val="single"/>
          </w:rPr>
          <w:t>https://www.namirial.com/en/news/ambienta-acquisition-bit4id-integration-namirial-platform/</w:t>
        </w:r>
      </w:hyperlink>
      <w:r>
        <w:t xml:space="preserve"> - Provides additional context on Namirial's growth strategy and its successful M&amp;A activities, contributing to its strong organic growth and expanded international presence.</w:t>
      </w:r>
      <w:r/>
    </w:p>
    <w:p>
      <w:pPr>
        <w:pStyle w:val="ListNumber"/>
        <w:spacing w:line="240" w:lineRule="auto"/>
        <w:ind w:left="720"/>
      </w:pPr>
      <w:r/>
      <w:hyperlink r:id="rId12">
        <w:r>
          <w:rPr>
            <w:color w:val="0000EE"/>
            <w:u w:val="single"/>
          </w:rPr>
          <w:t>https://www.namirial.com/en/news/namirial-acquisition-netheos/</w:t>
        </w:r>
      </w:hyperlink>
      <w:r>
        <w:t xml:space="preserve"> - Explains the environmental impact of Namirial's and its acquired companies' services, such as reducing paper usage and water consumption through digital transactions.</w:t>
      </w:r>
      <w:r/>
    </w:p>
    <w:p>
      <w:pPr>
        <w:pStyle w:val="ListNumber"/>
        <w:spacing w:line="240" w:lineRule="auto"/>
        <w:ind w:left="720"/>
      </w:pPr>
      <w:r/>
      <w:hyperlink r:id="rId10">
        <w:r>
          <w:rPr>
            <w:color w:val="0000EE"/>
            <w:u w:val="single"/>
          </w:rPr>
          <w:t>https://tech.eu/2025/01/16/namirial-acquires-digital-technologies/</w:t>
        </w:r>
      </w:hyperlink>
      <w:r>
        <w:t xml:space="preserve"> - Please view link - unable to able to access data</w:t>
      </w:r>
      <w:r/>
    </w:p>
    <w:sectPr w:rsidR="008F16EB" w:rsidRPr="008F16E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altName w:val="Courier New"/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565639">
    <w:abstractNumId w:val="8"/>
  </w:num>
  <w:num w:numId="2" w16cid:durableId="1689715716">
    <w:abstractNumId w:val="6"/>
  </w:num>
  <w:num w:numId="3" w16cid:durableId="1422219261">
    <w:abstractNumId w:val="5"/>
  </w:num>
  <w:num w:numId="4" w16cid:durableId="1639651746">
    <w:abstractNumId w:val="4"/>
  </w:num>
  <w:num w:numId="5" w16cid:durableId="268244051">
    <w:abstractNumId w:val="7"/>
  </w:num>
  <w:num w:numId="6" w16cid:durableId="527262389">
    <w:abstractNumId w:val="3"/>
  </w:num>
  <w:num w:numId="7" w16cid:durableId="2116093898">
    <w:abstractNumId w:val="2"/>
  </w:num>
  <w:num w:numId="8" w16cid:durableId="1487162739">
    <w:abstractNumId w:val="1"/>
  </w:num>
  <w:num w:numId="9" w16cid:durableId="1639265226">
    <w:abstractNumId w:val="0"/>
  </w:num>
  <w:num w:numId="10" w16cid:durableId="495808350">
    <w:abstractNumId w:val="7"/>
    <w:lvlOverride w:ilvl="0">
      <w:startOverride w:val="1"/>
    </w:lvlOverride>
  </w:num>
  <w:num w:numId="11" w16cid:durableId="1894850684">
    <w:abstractNumId w:val="9"/>
  </w:num>
  <w:num w:numId="12" w16cid:durableId="1467312115">
    <w:abstractNumId w:val="9"/>
  </w:num>
  <w:num w:numId="13" w16cid:durableId="1615862868">
    <w:abstractNumId w:val="9"/>
  </w:num>
  <w:num w:numId="14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defaultTableStyle w:val="Noah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E31"/>
    <w:rsid w:val="00034616"/>
    <w:rsid w:val="0006063C"/>
    <w:rsid w:val="0015074B"/>
    <w:rsid w:val="0029639D"/>
    <w:rsid w:val="00326F90"/>
    <w:rsid w:val="00327C26"/>
    <w:rsid w:val="006072D1"/>
    <w:rsid w:val="00641096"/>
    <w:rsid w:val="00733E31"/>
    <w:rsid w:val="00782A44"/>
    <w:rsid w:val="007D0B83"/>
    <w:rsid w:val="008F16EB"/>
    <w:rsid w:val="00920A5B"/>
    <w:rsid w:val="00AA1D8D"/>
    <w:rsid w:val="00B47730"/>
    <w:rsid w:val="00CB0664"/>
    <w:rsid w:val="00F369D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B5D908"/>
  <w14:defaultImageDpi w14:val="300"/>
  <w15:docId w15:val="{AFAB448B-A191-DB46-889A-C1A710B4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096"/>
  </w:style>
  <w:style w:type="paragraph" w:styleId="Heading1">
    <w:name w:val="heading 1"/>
    <w:basedOn w:val="Normal"/>
    <w:next w:val="Normal"/>
    <w:link w:val="Heading1Char"/>
    <w:uiPriority w:val="9"/>
    <w:qFormat/>
    <w:rsid w:val="006410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10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109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10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F4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09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09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09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09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link w:val="NoSpacingChar"/>
    <w:uiPriority w:val="1"/>
    <w:qFormat/>
    <w:rsid w:val="006410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41096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1096"/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64109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109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1096"/>
    <w:pPr>
      <w:numPr>
        <w:ilvl w:val="1"/>
      </w:numPr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41096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641096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64109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41096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1096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096"/>
    <w:rPr>
      <w:rFonts w:asciiTheme="majorHAnsi" w:eastAsiaTheme="majorEastAsia" w:hAnsiTheme="majorHAnsi" w:cstheme="majorBidi"/>
      <w:color w:val="0A2F4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096"/>
    <w:rPr>
      <w:rFonts w:asciiTheme="majorHAnsi" w:eastAsiaTheme="majorEastAsia" w:hAnsiTheme="majorHAnsi" w:cstheme="majorBidi"/>
      <w:i/>
      <w:iCs/>
      <w:color w:val="0A2F4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096"/>
    <w:rPr>
      <w:rFonts w:asciiTheme="majorHAnsi" w:eastAsiaTheme="majorEastAsia" w:hAnsiTheme="majorHAnsi" w:cstheme="majorBidi"/>
      <w:color w:val="156082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0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1096"/>
    <w:pPr>
      <w:spacing w:line="240" w:lineRule="auto"/>
    </w:pPr>
    <w:rPr>
      <w:b/>
      <w:bCs/>
      <w:color w:val="156082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641096"/>
    <w:rPr>
      <w:b/>
      <w:bCs/>
    </w:rPr>
  </w:style>
  <w:style w:type="character" w:styleId="Emphasis">
    <w:name w:val="Emphasis"/>
    <w:basedOn w:val="DefaultParagraphFont"/>
    <w:uiPriority w:val="20"/>
    <w:qFormat/>
    <w:rsid w:val="0064109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109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1096"/>
    <w:rPr>
      <w:b/>
      <w:bCs/>
      <w:i/>
      <w:iCs/>
      <w:color w:val="156082" w:themeColor="accent1"/>
    </w:rPr>
  </w:style>
  <w:style w:type="character" w:styleId="SubtleEmphasis">
    <w:name w:val="Subtle Emphasis"/>
    <w:basedOn w:val="DefaultParagraphFont"/>
    <w:uiPriority w:val="19"/>
    <w:qFormat/>
    <w:rsid w:val="0064109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41096"/>
    <w:rPr>
      <w:b/>
      <w:bCs/>
      <w:i/>
      <w:iCs/>
      <w:color w:val="156082" w:themeColor="accent1"/>
    </w:rPr>
  </w:style>
  <w:style w:type="character" w:styleId="SubtleReference">
    <w:name w:val="Subtle Reference"/>
    <w:basedOn w:val="DefaultParagraphFont"/>
    <w:uiPriority w:val="31"/>
    <w:qFormat/>
    <w:rsid w:val="00641096"/>
    <w:rPr>
      <w:smallCaps/>
      <w:color w:val="E97132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41096"/>
    <w:rPr>
      <w:b/>
      <w:bCs/>
      <w:smallCaps/>
      <w:color w:val="E97132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4109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1096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0F4761" w:themeColor="accent1" w:themeShade="BF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BF4E14" w:themeColor="accent2" w:themeShade="BF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97132" w:themeColor="accent2"/>
          <w:left w:val="nil"/>
          <w:bottom w:val="single" w:sz="8" w:space="0" w:color="E9713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124F1A" w:themeColor="accent3" w:themeShade="BF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0B769F" w:themeColor="accent4" w:themeShade="BF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9ED5" w:themeColor="accent4"/>
          <w:left w:val="nil"/>
          <w:bottom w:val="single" w:sz="8" w:space="0" w:color="0F9E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77206D" w:themeColor="accent5" w:themeShade="BF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2B93" w:themeColor="accent5"/>
          <w:left w:val="nil"/>
          <w:bottom w:val="single" w:sz="8" w:space="0" w:color="A02B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A72E" w:themeColor="accent6"/>
          <w:left w:val="nil"/>
          <w:bottom w:val="single" w:sz="8" w:space="0" w:color="4EA72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1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H w:val="nil"/>
          <w:insideV w:val="single" w:sz="8" w:space="0" w:color="E9713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</w:tcPr>
    </w:tblStylePr>
    <w:tblStylePr w:type="band1Vert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  <w:shd w:val="clear" w:color="auto" w:fill="F9DBCC" w:themeFill="accent2" w:themeFillTint="3F"/>
      </w:tcPr>
    </w:tblStylePr>
    <w:tblStylePr w:type="band2Horz">
      <w:tblPr/>
      <w:tcPr>
        <w:tcBorders>
          <w:top w:val="single" w:sz="8" w:space="0" w:color="E97132" w:themeColor="accent2"/>
          <w:left w:val="single" w:sz="8" w:space="0" w:color="E97132" w:themeColor="accent2"/>
          <w:bottom w:val="single" w:sz="8" w:space="0" w:color="E97132" w:themeColor="accent2"/>
          <w:right w:val="single" w:sz="8" w:space="0" w:color="E97132" w:themeColor="accent2"/>
          <w:insideV w:val="single" w:sz="8" w:space="0" w:color="E97132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1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H w:val="nil"/>
          <w:insideV w:val="single" w:sz="8" w:space="0" w:color="0F9E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</w:tcPr>
    </w:tblStylePr>
    <w:tblStylePr w:type="band1Vert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  <w:shd w:val="clear" w:color="auto" w:fill="BDE9FA" w:themeFill="accent4" w:themeFillTint="3F"/>
      </w:tcPr>
    </w:tblStylePr>
    <w:tblStylePr w:type="band2Horz">
      <w:tblPr/>
      <w:tcPr>
        <w:tcBorders>
          <w:top w:val="single" w:sz="8" w:space="0" w:color="0F9ED5" w:themeColor="accent4"/>
          <w:left w:val="single" w:sz="8" w:space="0" w:color="0F9ED5" w:themeColor="accent4"/>
          <w:bottom w:val="single" w:sz="8" w:space="0" w:color="0F9ED5" w:themeColor="accent4"/>
          <w:right w:val="single" w:sz="8" w:space="0" w:color="0F9ED5" w:themeColor="accent4"/>
          <w:insideV w:val="single" w:sz="8" w:space="0" w:color="0F9ED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1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H w:val="nil"/>
          <w:insideV w:val="single" w:sz="8" w:space="0" w:color="A02B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</w:tcPr>
    </w:tblStylePr>
    <w:tblStylePr w:type="band1Vert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  <w:shd w:val="clear" w:color="auto" w:fill="EFC3E9" w:themeFill="accent5" w:themeFillTint="3F"/>
      </w:tcPr>
    </w:tblStylePr>
    <w:tblStylePr w:type="band2Horz">
      <w:tblPr/>
      <w:tcPr>
        <w:tcBorders>
          <w:top w:val="single" w:sz="8" w:space="0" w:color="A02B93" w:themeColor="accent5"/>
          <w:left w:val="single" w:sz="8" w:space="0" w:color="A02B93" w:themeColor="accent5"/>
          <w:bottom w:val="single" w:sz="8" w:space="0" w:color="A02B93" w:themeColor="accent5"/>
          <w:right w:val="single" w:sz="8" w:space="0" w:color="A02B93" w:themeColor="accent5"/>
          <w:insideV w:val="single" w:sz="8" w:space="0" w:color="A02B93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1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H w:val="nil"/>
          <w:insideV w:val="single" w:sz="8" w:space="0" w:color="4EA72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</w:tcPr>
    </w:tblStylePr>
    <w:tblStylePr w:type="band1Vert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  <w:shd w:val="clear" w:color="auto" w:fill="D0EFC5" w:themeFill="accent6" w:themeFillTint="3F"/>
      </w:tcPr>
    </w:tblStylePr>
    <w:tblStylePr w:type="band2Horz">
      <w:tblPr/>
      <w:tcPr>
        <w:tcBorders>
          <w:top w:val="single" w:sz="8" w:space="0" w:color="4EA72E" w:themeColor="accent6"/>
          <w:left w:val="single" w:sz="8" w:space="0" w:color="4EA72E" w:themeColor="accent6"/>
          <w:bottom w:val="single" w:sz="8" w:space="0" w:color="4EA72E" w:themeColor="accent6"/>
          <w:right w:val="single" w:sz="8" w:space="0" w:color="4EA72E" w:themeColor="accent6"/>
          <w:insideV w:val="single" w:sz="8" w:space="0" w:color="4EA72E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198CF" w:themeColor="accent1" w:themeTint="BF"/>
          <w:left w:val="single" w:sz="8" w:space="0" w:color="2198CF" w:themeColor="accent1" w:themeTint="BF"/>
          <w:bottom w:val="single" w:sz="8" w:space="0" w:color="2198CF" w:themeColor="accent1" w:themeTint="BF"/>
          <w:right w:val="single" w:sz="8" w:space="0" w:color="2198C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9465" w:themeColor="accent2" w:themeTint="BF"/>
          <w:left w:val="single" w:sz="8" w:space="0" w:color="EE9465" w:themeColor="accent2" w:themeTint="BF"/>
          <w:bottom w:val="single" w:sz="8" w:space="0" w:color="EE9465" w:themeColor="accent2" w:themeTint="BF"/>
          <w:right w:val="single" w:sz="8" w:space="0" w:color="EE946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B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B73D" w:themeColor="accent3" w:themeTint="BF"/>
          <w:left w:val="single" w:sz="8" w:space="0" w:color="2BB73D" w:themeColor="accent3" w:themeTint="BF"/>
          <w:bottom w:val="single" w:sz="8" w:space="0" w:color="2BB73D" w:themeColor="accent3" w:themeTint="BF"/>
          <w:right w:val="single" w:sz="8" w:space="0" w:color="2BB73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DB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9BEF1" w:themeColor="accent4" w:themeTint="BF"/>
          <w:left w:val="single" w:sz="8" w:space="0" w:color="39BEF1" w:themeColor="accent4" w:themeTint="BF"/>
          <w:bottom w:val="single" w:sz="8" w:space="0" w:color="39BEF1" w:themeColor="accent4" w:themeTint="BF"/>
          <w:right w:val="single" w:sz="8" w:space="0" w:color="39BEF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E9F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49BF" w:themeColor="accent5" w:themeTint="BF"/>
          <w:left w:val="single" w:sz="8" w:space="0" w:color="CE49BF" w:themeColor="accent5" w:themeTint="BF"/>
          <w:bottom w:val="single" w:sz="8" w:space="0" w:color="CE49BF" w:themeColor="accent5" w:themeTint="BF"/>
          <w:right w:val="single" w:sz="8" w:space="0" w:color="CE49B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3E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CF50" w:themeColor="accent6" w:themeTint="BF"/>
          <w:left w:val="single" w:sz="8" w:space="0" w:color="71CF50" w:themeColor="accent6" w:themeTint="BF"/>
          <w:bottom w:val="single" w:sz="8" w:space="0" w:color="71CF50" w:themeColor="accent6" w:themeTint="BF"/>
          <w:right w:val="single" w:sz="8" w:space="0" w:color="71CF5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F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56082" w:themeColor="accent1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56082" w:themeColor="accent1"/>
          <w:bottom w:val="single" w:sz="8" w:space="0" w:color="156082" w:themeColor="accent1"/>
        </w:tcBorders>
      </w:tcPr>
    </w:tblStylePr>
    <w:tblStylePr w:type="band1Vert">
      <w:tblPr/>
      <w:tcPr>
        <w:shd w:val="clear" w:color="auto" w:fill="B2DEF2" w:themeFill="accent1" w:themeFillTint="3F"/>
      </w:tcPr>
    </w:tblStylePr>
    <w:tblStylePr w:type="band1Horz">
      <w:tblPr/>
      <w:tcPr>
        <w:shd w:val="clear" w:color="auto" w:fill="B2DEF2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bottom w:val="single" w:sz="8" w:space="0" w:color="E9713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97132" w:themeColor="accent2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97132" w:themeColor="accent2"/>
          <w:bottom w:val="single" w:sz="8" w:space="0" w:color="E97132" w:themeColor="accent2"/>
        </w:tcBorders>
      </w:tcPr>
    </w:tblStylePr>
    <w:tblStylePr w:type="band1Vert">
      <w:tblPr/>
      <w:tcPr>
        <w:shd w:val="clear" w:color="auto" w:fill="F9DBCC" w:themeFill="accent2" w:themeFillTint="3F"/>
      </w:tcPr>
    </w:tblStylePr>
    <w:tblStylePr w:type="band1Horz">
      <w:tblPr/>
      <w:tcPr>
        <w:shd w:val="clear" w:color="auto" w:fill="F9DBCC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96B24" w:themeColor="accent3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96B24" w:themeColor="accent3"/>
          <w:bottom w:val="single" w:sz="8" w:space="0" w:color="196B24" w:themeColor="accent3"/>
        </w:tcBorders>
      </w:tcPr>
    </w:tblStylePr>
    <w:tblStylePr w:type="band1Vert">
      <w:tblPr/>
      <w:tcPr>
        <w:shd w:val="clear" w:color="auto" w:fill="B3EDBA" w:themeFill="accent3" w:themeFillTint="3F"/>
      </w:tcPr>
    </w:tblStylePr>
    <w:tblStylePr w:type="band1Horz">
      <w:tblPr/>
      <w:tcPr>
        <w:shd w:val="clear" w:color="auto" w:fill="B3EDBA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bottom w:val="single" w:sz="8" w:space="0" w:color="0F9E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9ED5" w:themeColor="accent4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9ED5" w:themeColor="accent4"/>
          <w:bottom w:val="single" w:sz="8" w:space="0" w:color="0F9ED5" w:themeColor="accent4"/>
        </w:tcBorders>
      </w:tcPr>
    </w:tblStylePr>
    <w:tblStylePr w:type="band1Vert">
      <w:tblPr/>
      <w:tcPr>
        <w:shd w:val="clear" w:color="auto" w:fill="BDE9FA" w:themeFill="accent4" w:themeFillTint="3F"/>
      </w:tcPr>
    </w:tblStylePr>
    <w:tblStylePr w:type="band1Horz">
      <w:tblPr/>
      <w:tcPr>
        <w:shd w:val="clear" w:color="auto" w:fill="BDE9FA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bottom w:val="single" w:sz="8" w:space="0" w:color="A02B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2B93" w:themeColor="accent5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2B93" w:themeColor="accent5"/>
          <w:bottom w:val="single" w:sz="8" w:space="0" w:color="A02B93" w:themeColor="accent5"/>
        </w:tcBorders>
      </w:tcPr>
    </w:tblStylePr>
    <w:tblStylePr w:type="band1Vert">
      <w:tblPr/>
      <w:tcPr>
        <w:shd w:val="clear" w:color="auto" w:fill="EFC3E9" w:themeFill="accent5" w:themeFillTint="3F"/>
      </w:tcPr>
    </w:tblStylePr>
    <w:tblStylePr w:type="band1Horz">
      <w:tblPr/>
      <w:tcPr>
        <w:shd w:val="clear" w:color="auto" w:fill="EFC3E9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bottom w:val="single" w:sz="8" w:space="0" w:color="4EA72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A72E" w:themeColor="accent6"/>
        </w:tcBorders>
      </w:tcPr>
    </w:tblStylePr>
    <w:tblStylePr w:type="lastRow">
      <w:rPr>
        <w:b/>
        <w:bCs/>
        <w:color w:val="0E2841" w:themeColor="text2"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A72E" w:themeColor="accent6"/>
          <w:bottom w:val="single" w:sz="8" w:space="0" w:color="4EA72E" w:themeColor="accent6"/>
        </w:tcBorders>
      </w:tcPr>
    </w:tblStylePr>
    <w:tblStylePr w:type="band1Vert">
      <w:tblPr/>
      <w:tcPr>
        <w:shd w:val="clear" w:color="auto" w:fill="D0EFC5" w:themeFill="accent6" w:themeFillTint="3F"/>
      </w:tcPr>
    </w:tblStylePr>
    <w:tblStylePr w:type="band1Horz">
      <w:tblPr/>
      <w:tcPr>
        <w:shd w:val="clear" w:color="auto" w:fill="D0EFC5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5608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56082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5608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5608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97132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9713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9713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B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96B24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96B2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96B2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DB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9ED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9E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9E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E9F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2B9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2B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2B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E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A72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A72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A72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F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198CF" w:themeColor="accent1" w:themeTint="BF"/>
        <w:left w:val="single" w:sz="8" w:space="0" w:color="2198CF" w:themeColor="accent1" w:themeTint="BF"/>
        <w:bottom w:val="single" w:sz="8" w:space="0" w:color="2198CF" w:themeColor="accent1" w:themeTint="BF"/>
        <w:right w:val="single" w:sz="8" w:space="0" w:color="2198CF" w:themeColor="accent1" w:themeTint="BF"/>
        <w:insideH w:val="single" w:sz="8" w:space="0" w:color="2198CF" w:themeColor="accent1" w:themeTint="BF"/>
        <w:insideV w:val="single" w:sz="8" w:space="0" w:color="2198CF" w:themeColor="accent1" w:themeTint="BF"/>
      </w:tblBorders>
    </w:tblPr>
    <w:tcPr>
      <w:shd w:val="clear" w:color="auto" w:fill="B2DEF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198C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EE9465" w:themeColor="accent2" w:themeTint="BF"/>
        <w:left w:val="single" w:sz="8" w:space="0" w:color="EE9465" w:themeColor="accent2" w:themeTint="BF"/>
        <w:bottom w:val="single" w:sz="8" w:space="0" w:color="EE9465" w:themeColor="accent2" w:themeTint="BF"/>
        <w:right w:val="single" w:sz="8" w:space="0" w:color="EE9465" w:themeColor="accent2" w:themeTint="BF"/>
        <w:insideH w:val="single" w:sz="8" w:space="0" w:color="EE9465" w:themeColor="accent2" w:themeTint="BF"/>
        <w:insideV w:val="single" w:sz="8" w:space="0" w:color="EE9465" w:themeColor="accent2" w:themeTint="BF"/>
      </w:tblBorders>
    </w:tblPr>
    <w:tcPr>
      <w:shd w:val="clear" w:color="auto" w:fill="F9DB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E946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2BB73D" w:themeColor="accent3" w:themeTint="BF"/>
        <w:left w:val="single" w:sz="8" w:space="0" w:color="2BB73D" w:themeColor="accent3" w:themeTint="BF"/>
        <w:bottom w:val="single" w:sz="8" w:space="0" w:color="2BB73D" w:themeColor="accent3" w:themeTint="BF"/>
        <w:right w:val="single" w:sz="8" w:space="0" w:color="2BB73D" w:themeColor="accent3" w:themeTint="BF"/>
        <w:insideH w:val="single" w:sz="8" w:space="0" w:color="2BB73D" w:themeColor="accent3" w:themeTint="BF"/>
        <w:insideV w:val="single" w:sz="8" w:space="0" w:color="2BB73D" w:themeColor="accent3" w:themeTint="BF"/>
      </w:tblBorders>
    </w:tblPr>
    <w:tcPr>
      <w:shd w:val="clear" w:color="auto" w:fill="B3EDB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B73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39BEF1" w:themeColor="accent4" w:themeTint="BF"/>
        <w:left w:val="single" w:sz="8" w:space="0" w:color="39BEF1" w:themeColor="accent4" w:themeTint="BF"/>
        <w:bottom w:val="single" w:sz="8" w:space="0" w:color="39BEF1" w:themeColor="accent4" w:themeTint="BF"/>
        <w:right w:val="single" w:sz="8" w:space="0" w:color="39BEF1" w:themeColor="accent4" w:themeTint="BF"/>
        <w:insideH w:val="single" w:sz="8" w:space="0" w:color="39BEF1" w:themeColor="accent4" w:themeTint="BF"/>
        <w:insideV w:val="single" w:sz="8" w:space="0" w:color="39BEF1" w:themeColor="accent4" w:themeTint="BF"/>
      </w:tblBorders>
    </w:tblPr>
    <w:tcPr>
      <w:shd w:val="clear" w:color="auto" w:fill="BDE9F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9BEF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E49BF" w:themeColor="accent5" w:themeTint="BF"/>
        <w:left w:val="single" w:sz="8" w:space="0" w:color="CE49BF" w:themeColor="accent5" w:themeTint="BF"/>
        <w:bottom w:val="single" w:sz="8" w:space="0" w:color="CE49BF" w:themeColor="accent5" w:themeTint="BF"/>
        <w:right w:val="single" w:sz="8" w:space="0" w:color="CE49BF" w:themeColor="accent5" w:themeTint="BF"/>
        <w:insideH w:val="single" w:sz="8" w:space="0" w:color="CE49BF" w:themeColor="accent5" w:themeTint="BF"/>
        <w:insideV w:val="single" w:sz="8" w:space="0" w:color="CE49BF" w:themeColor="accent5" w:themeTint="BF"/>
      </w:tblBorders>
    </w:tblPr>
    <w:tcPr>
      <w:shd w:val="clear" w:color="auto" w:fill="EFC3E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49B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1CF50" w:themeColor="accent6" w:themeTint="BF"/>
        <w:left w:val="single" w:sz="8" w:space="0" w:color="71CF50" w:themeColor="accent6" w:themeTint="BF"/>
        <w:bottom w:val="single" w:sz="8" w:space="0" w:color="71CF50" w:themeColor="accent6" w:themeTint="BF"/>
        <w:right w:val="single" w:sz="8" w:space="0" w:color="71CF50" w:themeColor="accent6" w:themeTint="BF"/>
        <w:insideH w:val="single" w:sz="8" w:space="0" w:color="71CF50" w:themeColor="accent6" w:themeTint="BF"/>
        <w:insideV w:val="single" w:sz="8" w:space="0" w:color="71CF50" w:themeColor="accent6" w:themeTint="BF"/>
      </w:tblBorders>
    </w:tblPr>
    <w:tcPr>
      <w:shd w:val="clear" w:color="auto" w:fill="D0EF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CF5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cPr>
      <w:shd w:val="clear" w:color="auto" w:fill="B2DEF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0F2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E4F5" w:themeFill="accent1" w:themeFillTint="33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tcBorders>
          <w:insideH w:val="single" w:sz="6" w:space="0" w:color="156082" w:themeColor="accent1"/>
          <w:insideV w:val="single" w:sz="6" w:space="0" w:color="156082" w:themeColor="accent1"/>
        </w:tcBorders>
        <w:shd w:val="clear" w:color="auto" w:fill="64BDE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97132" w:themeColor="accent2"/>
        <w:left w:val="single" w:sz="8" w:space="0" w:color="E97132" w:themeColor="accent2"/>
        <w:bottom w:val="single" w:sz="8" w:space="0" w:color="E97132" w:themeColor="accent2"/>
        <w:right w:val="single" w:sz="8" w:space="0" w:color="E97132" w:themeColor="accent2"/>
        <w:insideH w:val="single" w:sz="8" w:space="0" w:color="E97132" w:themeColor="accent2"/>
        <w:insideV w:val="single" w:sz="8" w:space="0" w:color="E97132" w:themeColor="accent2"/>
      </w:tblBorders>
    </w:tblPr>
    <w:tcPr>
      <w:shd w:val="clear" w:color="auto" w:fill="F9DB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2D5" w:themeFill="accent2" w:themeFillTint="33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tcBorders>
          <w:insideH w:val="single" w:sz="6" w:space="0" w:color="E97132" w:themeColor="accent2"/>
          <w:insideV w:val="single" w:sz="6" w:space="0" w:color="E97132" w:themeColor="accent2"/>
        </w:tcBorders>
        <w:shd w:val="clear" w:color="auto" w:fill="F4B7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cPr>
      <w:shd w:val="clear" w:color="auto" w:fill="B3EDB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0F8E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F0C7" w:themeFill="accent3" w:themeFillTint="33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tcBorders>
          <w:insideH w:val="single" w:sz="6" w:space="0" w:color="196B24" w:themeColor="accent3"/>
          <w:insideV w:val="single" w:sz="6" w:space="0" w:color="196B24" w:themeColor="accent3"/>
        </w:tcBorders>
        <w:shd w:val="clear" w:color="auto" w:fill="66DB7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F9ED5" w:themeColor="accent4"/>
        <w:left w:val="single" w:sz="8" w:space="0" w:color="0F9ED5" w:themeColor="accent4"/>
        <w:bottom w:val="single" w:sz="8" w:space="0" w:color="0F9ED5" w:themeColor="accent4"/>
        <w:right w:val="single" w:sz="8" w:space="0" w:color="0F9ED5" w:themeColor="accent4"/>
        <w:insideH w:val="single" w:sz="8" w:space="0" w:color="0F9ED5" w:themeColor="accent4"/>
        <w:insideV w:val="single" w:sz="8" w:space="0" w:color="0F9ED5" w:themeColor="accent4"/>
      </w:tblBorders>
    </w:tblPr>
    <w:tcPr>
      <w:shd w:val="clear" w:color="auto" w:fill="BDE9F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5F6FD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DFB" w:themeFill="accent4" w:themeFillTint="33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tcBorders>
          <w:insideH w:val="single" w:sz="6" w:space="0" w:color="0F9ED5" w:themeColor="accent4"/>
          <w:insideV w:val="single" w:sz="6" w:space="0" w:color="0F9ED5" w:themeColor="accent4"/>
        </w:tcBorders>
        <w:shd w:val="clear" w:color="auto" w:fill="7BD3F5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2B93" w:themeColor="accent5"/>
        <w:left w:val="single" w:sz="8" w:space="0" w:color="A02B93" w:themeColor="accent5"/>
        <w:bottom w:val="single" w:sz="8" w:space="0" w:color="A02B93" w:themeColor="accent5"/>
        <w:right w:val="single" w:sz="8" w:space="0" w:color="A02B93" w:themeColor="accent5"/>
        <w:insideH w:val="single" w:sz="8" w:space="0" w:color="A02B93" w:themeColor="accent5"/>
        <w:insideV w:val="single" w:sz="8" w:space="0" w:color="A02B93" w:themeColor="accent5"/>
      </w:tblBorders>
    </w:tblPr>
    <w:tcPr>
      <w:shd w:val="clear" w:color="auto" w:fill="EFC3E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ED" w:themeFill="accent5" w:themeFillTint="33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tcBorders>
          <w:insideH w:val="single" w:sz="6" w:space="0" w:color="A02B93" w:themeColor="accent5"/>
          <w:insideV w:val="single" w:sz="6" w:space="0" w:color="A02B93" w:themeColor="accent5"/>
        </w:tcBorders>
        <w:shd w:val="clear" w:color="auto" w:fill="DE86D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A72E" w:themeColor="accent6"/>
        <w:left w:val="single" w:sz="8" w:space="0" w:color="4EA72E" w:themeColor="accent6"/>
        <w:bottom w:val="single" w:sz="8" w:space="0" w:color="4EA72E" w:themeColor="accent6"/>
        <w:right w:val="single" w:sz="8" w:space="0" w:color="4EA72E" w:themeColor="accent6"/>
        <w:insideH w:val="single" w:sz="8" w:space="0" w:color="4EA72E" w:themeColor="accent6"/>
        <w:insideV w:val="single" w:sz="8" w:space="0" w:color="4EA72E" w:themeColor="accent6"/>
      </w:tblBorders>
    </w:tblPr>
    <w:tcPr>
      <w:shd w:val="clear" w:color="auto" w:fill="D0EF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8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F2D0" w:themeFill="accent6" w:themeFillTint="33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tcBorders>
          <w:insideH w:val="single" w:sz="6" w:space="0" w:color="4EA72E" w:themeColor="accent6"/>
          <w:insideV w:val="single" w:sz="6" w:space="0" w:color="4EA72E" w:themeColor="accent6"/>
        </w:tcBorders>
        <w:shd w:val="clear" w:color="auto" w:fill="A0DF8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5608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5608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DE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DE6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B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9713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9713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9713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B7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B798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DB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96B2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96B2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96B2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6DB7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6DB75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DE9F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9E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9E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9E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BD3F5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BD3F5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3E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2B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2B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2B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86D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86D4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F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A72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A72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DF8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DF8A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5608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A2F4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F476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76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971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40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4E1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4E1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96B2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C351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24F1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4F1A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9E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4E6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769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769F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154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206D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06D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31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7C2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7C22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2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394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394D" w:themeColor="accent1" w:themeShade="99"/>
          <w:insideV w:val="nil"/>
        </w:tcBorders>
        <w:shd w:val="clear" w:color="auto" w:fill="0C394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394D" w:themeFill="accent1" w:themeFillShade="99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64BDE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9713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3F1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3F10" w:themeColor="accent2" w:themeShade="99"/>
          <w:insideV w:val="nil"/>
        </w:tcBorders>
        <w:shd w:val="clear" w:color="auto" w:fill="993F1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F10" w:themeFill="accent2" w:themeFillShade="99"/>
      </w:tcPr>
    </w:tblStylePr>
    <w:tblStylePr w:type="band1Vert">
      <w:tblPr/>
      <w:tcPr>
        <w:shd w:val="clear" w:color="auto" w:fill="F6C5AC" w:themeFill="accent2" w:themeFillTint="66"/>
      </w:tcPr>
    </w:tblStylePr>
    <w:tblStylePr w:type="band1Horz">
      <w:tblPr/>
      <w:tcPr>
        <w:shd w:val="clear" w:color="auto" w:fill="F4B7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F9ED5" w:themeColor="accent4"/>
        <w:left w:val="single" w:sz="4" w:space="0" w:color="196B24" w:themeColor="accent3"/>
        <w:bottom w:val="single" w:sz="4" w:space="0" w:color="196B24" w:themeColor="accent3"/>
        <w:right w:val="single" w:sz="4" w:space="0" w:color="196B2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8E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9E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401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4015" w:themeColor="accent3" w:themeShade="99"/>
          <w:insideV w:val="nil"/>
        </w:tcBorders>
        <w:shd w:val="clear" w:color="auto" w:fill="0F401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4015" w:themeFill="accent3" w:themeFillShade="99"/>
      </w:tcPr>
    </w:tblStylePr>
    <w:tblStylePr w:type="band1Vert">
      <w:tblPr/>
      <w:tcPr>
        <w:shd w:val="clear" w:color="auto" w:fill="84E290" w:themeFill="accent3" w:themeFillTint="66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96B24" w:themeColor="accent3"/>
        <w:left w:val="single" w:sz="4" w:space="0" w:color="0F9ED5" w:themeColor="accent4"/>
        <w:bottom w:val="single" w:sz="4" w:space="0" w:color="0F9ED5" w:themeColor="accent4"/>
        <w:right w:val="single" w:sz="4" w:space="0" w:color="0F9E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F6FD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6B2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5E7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5E7F" w:themeColor="accent4" w:themeShade="99"/>
          <w:insideV w:val="nil"/>
        </w:tcBorders>
        <w:shd w:val="clear" w:color="auto" w:fill="095E7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5E7F" w:themeFill="accent4" w:themeFillShade="99"/>
      </w:tcPr>
    </w:tblStylePr>
    <w:tblStylePr w:type="band1Vert">
      <w:tblPr/>
      <w:tcPr>
        <w:shd w:val="clear" w:color="auto" w:fill="95DCF7" w:themeFill="accent4" w:themeFillTint="66"/>
      </w:tcPr>
    </w:tblStylePr>
    <w:tblStylePr w:type="band1Horz">
      <w:tblPr/>
      <w:tcPr>
        <w:shd w:val="clear" w:color="auto" w:fill="7BD3F5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EA72E" w:themeColor="accent6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7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A72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95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957" w:themeColor="accent5" w:themeShade="99"/>
          <w:insideV w:val="nil"/>
        </w:tcBorders>
        <w:shd w:val="clear" w:color="auto" w:fill="5F195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957" w:themeFill="accent5" w:themeFillShade="99"/>
      </w:tcPr>
    </w:tblStylePr>
    <w:tblStylePr w:type="band1Vert">
      <w:tblPr/>
      <w:tcPr>
        <w:shd w:val="clear" w:color="auto" w:fill="E59EDC" w:themeFill="accent5" w:themeFillTint="66"/>
      </w:tcPr>
    </w:tblStylePr>
    <w:tblStylePr w:type="band1Horz">
      <w:tblPr/>
      <w:tcPr>
        <w:shd w:val="clear" w:color="auto" w:fill="DE86D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2B93" w:themeColor="accent5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8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2B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641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641B" w:themeColor="accent6" w:themeShade="99"/>
          <w:insideV w:val="nil"/>
        </w:tcBorders>
        <w:shd w:val="clear" w:color="auto" w:fill="2E641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641B" w:themeFill="accent6" w:themeFillShade="99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A0DF8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2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416" w:themeFill="accent2" w:themeFillShade="CC"/>
      </w:tcPr>
    </w:tblStylePr>
    <w:tblStylePr w:type="lastRow">
      <w:rPr>
        <w:b/>
        <w:bCs/>
        <w:color w:val="CC541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BCC" w:themeFill="accent2" w:themeFillTint="3F"/>
      </w:tcPr>
    </w:tblStylePr>
    <w:tblStylePr w:type="band1Horz">
      <w:tblPr/>
      <w:tcPr>
        <w:shd w:val="clear" w:color="auto" w:fill="FAE2D5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0F8E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7EAA" w:themeFill="accent4" w:themeFillShade="CC"/>
      </w:tcPr>
    </w:tblStylePr>
    <w:tblStylePr w:type="lastRow">
      <w:rPr>
        <w:b/>
        <w:bCs/>
        <w:color w:val="0C7EA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5F6FD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4551C" w:themeFill="accent3" w:themeFillShade="CC"/>
      </w:tcPr>
    </w:tblStylePr>
    <w:tblStylePr w:type="lastRow">
      <w:rPr>
        <w:b/>
        <w:bCs/>
        <w:color w:val="14551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E9FA" w:themeFill="accent4" w:themeFillTint="3F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7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8524" w:themeFill="accent6" w:themeFillShade="CC"/>
      </w:tcPr>
    </w:tblStylePr>
    <w:tblStylePr w:type="lastRow">
      <w:rPr>
        <w:b/>
        <w:bCs/>
        <w:color w:val="3E852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3E9" w:themeFill="accent5" w:themeFillTint="3F"/>
      </w:tcPr>
    </w:tblStylePr>
    <w:tblStylePr w:type="band1Horz">
      <w:tblPr/>
      <w:tcPr>
        <w:shd w:val="clear" w:color="auto" w:fill="F2CEED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8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275" w:themeFill="accent5" w:themeFillShade="CC"/>
      </w:tcPr>
    </w:tblStylePr>
    <w:tblStylePr w:type="lastRow">
      <w:rPr>
        <w:b/>
        <w:bCs/>
        <w:color w:val="7F22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FC5" w:themeFill="accent6" w:themeFillTint="3F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</w:rPr>
      <w:tblPr/>
      <w:tcPr>
        <w:shd w:val="clear" w:color="auto" w:fill="83CAE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3CAE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F4761" w:themeFill="accent1" w:themeFillShade="BF"/>
      </w:tcPr>
    </w:tblStylePr>
    <w:tblStylePr w:type="band1Vert">
      <w:tblPr/>
      <w:tcPr>
        <w:shd w:val="clear" w:color="auto" w:fill="64BDE6" w:themeFill="accent1" w:themeFillTint="7F"/>
      </w:tcPr>
    </w:tblStylePr>
    <w:tblStylePr w:type="band1Horz">
      <w:tblPr/>
      <w:tcPr>
        <w:shd w:val="clear" w:color="auto" w:fill="64BDE6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2D5" w:themeFill="accent2" w:themeFillTint="33"/>
    </w:tcPr>
    <w:tblStylePr w:type="firstRow">
      <w:rPr>
        <w:b/>
        <w:bCs/>
      </w:rPr>
      <w:tblPr/>
      <w:tcPr>
        <w:shd w:val="clear" w:color="auto" w:fill="F6C5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C5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4E14" w:themeFill="accent2" w:themeFillShade="BF"/>
      </w:tcPr>
    </w:tblStylePr>
    <w:tblStylePr w:type="band1Vert">
      <w:tblPr/>
      <w:tcPr>
        <w:shd w:val="clear" w:color="auto" w:fill="F4B798" w:themeFill="accent2" w:themeFillTint="7F"/>
      </w:tcPr>
    </w:tblStylePr>
    <w:tblStylePr w:type="band1Horz">
      <w:tblPr/>
      <w:tcPr>
        <w:shd w:val="clear" w:color="auto" w:fill="F4B798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F0C7" w:themeFill="accent3" w:themeFillTint="33"/>
    </w:tcPr>
    <w:tblStylePr w:type="firstRow">
      <w:rPr>
        <w:b/>
        <w:bCs/>
      </w:rPr>
      <w:tblPr/>
      <w:tcPr>
        <w:shd w:val="clear" w:color="auto" w:fill="84E29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4E29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24F1A" w:themeFill="accent3" w:themeFillShade="BF"/>
      </w:tcPr>
    </w:tblStylePr>
    <w:tblStylePr w:type="band1Vert">
      <w:tblPr/>
      <w:tcPr>
        <w:shd w:val="clear" w:color="auto" w:fill="66DB75" w:themeFill="accent3" w:themeFillTint="7F"/>
      </w:tcPr>
    </w:tblStylePr>
    <w:tblStylePr w:type="band1Horz">
      <w:tblPr/>
      <w:tcPr>
        <w:shd w:val="clear" w:color="auto" w:fill="66DB75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AEDFB" w:themeFill="accent4" w:themeFillTint="33"/>
    </w:tcPr>
    <w:tblStylePr w:type="firstRow">
      <w:rPr>
        <w:b/>
        <w:bCs/>
      </w:rPr>
      <w:tblPr/>
      <w:tcPr>
        <w:shd w:val="clear" w:color="auto" w:fill="95DCF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5DCF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B769F" w:themeFill="accent4" w:themeFillShade="BF"/>
      </w:tcPr>
    </w:tblStylePr>
    <w:tblStylePr w:type="band1Vert">
      <w:tblPr/>
      <w:tcPr>
        <w:shd w:val="clear" w:color="auto" w:fill="7BD3F5" w:themeFill="accent4" w:themeFillTint="7F"/>
      </w:tcPr>
    </w:tblStylePr>
    <w:tblStylePr w:type="band1Horz">
      <w:tblPr/>
      <w:tcPr>
        <w:shd w:val="clear" w:color="auto" w:fill="7BD3F5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EED" w:themeFill="accent5" w:themeFillTint="33"/>
    </w:tcPr>
    <w:tblStylePr w:type="firstRow">
      <w:rPr>
        <w:b/>
        <w:bCs/>
      </w:rPr>
      <w:tblPr/>
      <w:tcPr>
        <w:shd w:val="clear" w:color="auto" w:fill="E59ED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ED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7206D" w:themeFill="accent5" w:themeFillShade="BF"/>
      </w:tcPr>
    </w:tblStylePr>
    <w:tblStylePr w:type="band1Vert">
      <w:tblPr/>
      <w:tcPr>
        <w:shd w:val="clear" w:color="auto" w:fill="DE86D4" w:themeFill="accent5" w:themeFillTint="7F"/>
      </w:tcPr>
    </w:tblStylePr>
    <w:tblStylePr w:type="band1Horz">
      <w:tblPr/>
      <w:tcPr>
        <w:shd w:val="clear" w:color="auto" w:fill="DE86D4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</w:rPr>
      <w:tblPr/>
      <w:tcPr>
        <w:shd w:val="clear" w:color="auto" w:fill="B3E5A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E5A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A7C22" w:themeFill="accent6" w:themeFillShade="BF"/>
      </w:tcPr>
    </w:tblStylePr>
    <w:tblStylePr w:type="band1Vert">
      <w:tblPr/>
      <w:tcPr>
        <w:shd w:val="clear" w:color="auto" w:fill="A0DF8A" w:themeFill="accent6" w:themeFillTint="7F"/>
      </w:tcPr>
    </w:tblStylePr>
    <w:tblStylePr w:type="band1Horz">
      <w:tblPr/>
      <w:tcPr>
        <w:shd w:val="clear" w:color="auto" w:fill="A0DF8A" w:themeFill="accent6" w:themeFillTint="7F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641096"/>
  </w:style>
  <w:style w:type="paragraph" w:customStyle="1" w:styleId="PersonalName">
    <w:name w:val="Personal Name"/>
    <w:basedOn w:val="Title"/>
    <w:rsid w:val="00641096"/>
    <w:rPr>
      <w:b/>
      <w:caps/>
      <w:color w:val="000000"/>
      <w:sz w:val="28"/>
      <w:szCs w:val="28"/>
    </w:rPr>
  </w:style>
  <w:style w:type="table" w:styleId="GridTable7ColourfulAccent6">
    <w:name w:val="Grid Table 7 Colorful Accent 6"/>
    <w:basedOn w:val="TableNormal"/>
    <w:uiPriority w:val="52"/>
    <w:rsid w:val="008F16EB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1Light">
    <w:name w:val="Grid Table 1 Light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6Colourful">
    <w:name w:val="List Table 6 Colorful"/>
    <w:basedOn w:val="TableNormal"/>
    <w:uiPriority w:val="51"/>
    <w:rsid w:val="008F16E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2">
    <w:name w:val="Plain Table 2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99"/>
    <w:rsid w:val="008F16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oah">
    <w:name w:val="Noah"/>
    <w:basedOn w:val="TableNormal"/>
    <w:uiPriority w:val="99"/>
    <w:rsid w:val="008F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color w:val="auto"/>
      </w:rPr>
      <w:tblPr/>
      <w:tcPr>
        <w:shd w:val="clear" w:color="auto" w:fill="E8E8E8" w:themeFill="background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8" Type="http://schemas.openxmlformats.org/officeDocument/2006/relationships/image" Target="media/image1.jpg"/><Relationship Id="rId9" Type="http://schemas.openxmlformats.org/officeDocument/2006/relationships/hyperlink" Target="https://www.noahwire.com" TargetMode="External"/><Relationship Id="rId10" Type="http://schemas.openxmlformats.org/officeDocument/2006/relationships/hyperlink" Target="https://tech.eu/2025/01/16/namirial-acquires-digital-technologies/" TargetMode="External"/><Relationship Id="rId11" Type="http://schemas.openxmlformats.org/officeDocument/2006/relationships/hyperlink" Target="https://www.namirial.com/en/news/ambienta-completes-the-acquisition-of-namirial/" TargetMode="External"/><Relationship Id="rId12" Type="http://schemas.openxmlformats.org/officeDocument/2006/relationships/hyperlink" Target="https://www.namirial.com/en/news/namirial-acquisition-netheos/" TargetMode="External"/><Relationship Id="rId13" Type="http://schemas.openxmlformats.org/officeDocument/2006/relationships/hyperlink" Target="https://www.namirial.com/en/news/ambienta-acquisition-bit4id-integration-namirial-platform/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joaosoares/Downloads/template.dotx" TargetMode="External"/></Relationships>
</file>

<file path=word/theme/theme1.xml><?xml version="1.0" encoding="utf-8"?>
<a:theme xmlns:a="http://schemas.openxmlformats.org/drawingml/2006/main" name="Crop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Crop">
      <a:majorFont>
        <a:latin typeface="Franklin Gothic Book" panose="020B0503020102020204"/>
        <a:ea typeface=""/>
        <a:cs typeface=""/>
      </a:majorFont>
      <a:minorFont>
        <a:latin typeface="Franklin Gothic Book" panose="020B0503020102020204"/>
        <a:ea typeface=""/>
        <a:cs typeface=""/>
      </a:minorFont>
    </a:fontScheme>
    <a:fmtScheme name="Crop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34925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rop" id="{EC9488ED-E761-4D60-9AC4-764D1FE2C171}" vid="{CE19780C-D67D-4C13-9DE9-A52BC3BA51B4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Soares</dc:creator>
  <cp:keywords/>
  <dc:description>generated by python-docx</dc:description>
  <cp:lastModifiedBy>Joao Soares</cp:lastModifiedBy>
  <cp:revision>2</cp:revision>
  <dcterms:created xsi:type="dcterms:W3CDTF">2025-04-30T15:43:00Z</dcterms:created>
  <dcterms:modified xsi:type="dcterms:W3CDTF">2025-04-30T15:43:00Z</dcterms:modified>
  <cp:category/>
</cp:coreProperties>
</file>