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Trade finance magazine spotlights evolving dynamics in global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conjunction with the upcoming MENA Bank to Bank Forum, hosted by BAFT in Dubai, Trade Finance Global (TFG) has launched its latest magazine edition, focusing on the impacts of recent trends and the future of trade, treasury, and payments. </w:t>
      </w:r>
      <w:r/>
    </w:p>
    <w:p>
      <w:r/>
      <w:r>
        <w:t>The year 2024 has been characterised by significant volatility in global trade, primarily driven by geopolitical events that have destabilised supply chains. This turmoil has led to investor uncertainty and fluctuations in currency and risk ratings worldwide. Notably, this past year saw around two billion voters participating in elections across various nations, including Indonesia, Pakistan, the United Kingdom, and the United States. In numerous instances, outcomes unfavourable for incumbent parties have emerged, suggesting a shift in political sentiments within several global powerhouses such as India, Japan, and South Africa.</w:t>
      </w:r>
      <w:r/>
    </w:p>
    <w:p>
      <w:r/>
      <w:r>
        <w:t>As political landscapes evolve, emerging parties have begun to reshape trade policies, with a discernible strain evident in environmental policy discussions between wealthy and less affluent nations. The recent ‘finance COP’, COP29, held in Azerbaijan, ostensibly showcased global commitments to climate action and the inclusion of small and medium-sized enterprises (SMEs) in financial discussions. However, disagreements over funding between richer and poorer nations persist, as developing countries push for $1.3 trillion in climate aid, while current proposals stipulate an offering of just $300 billion annually by 2035. German Foreign Minister Annalena Baerbock voiced criticism of wealthier fossil fuel nations, accusing them of "ripping off" vulnerable states in these negotiations.</w:t>
      </w:r>
      <w:r/>
    </w:p>
    <w:p>
      <w:r/>
      <w:r>
        <w:t xml:space="preserve">The complexities surrounding trade continue to surface, with trade-based money laundering (TBML) increasing in prevalence. While some view this as a damning mark against trade's integrity, TFG highlights initiatives like the Asian Development Bank’s (ADB) TBML pilot project, which exemplifies how the combination of technology and transparency can lead to improved practices within the field. </w:t>
      </w:r>
      <w:r/>
    </w:p>
    <w:p>
      <w:r/>
      <w:r>
        <w:t xml:space="preserve">In light of these developments, TFG’s magazine focuses on emerging markets for its first edition of the year. Recognising the volatility that defines global trade finance, TFG suggests that developing economies have adopted innovative strategies to protect themselves from macroeconomic disruptions. </w:t>
      </w:r>
      <w:r/>
    </w:p>
    <w:p>
      <w:r/>
      <w:r>
        <w:t>The collection of articles primarily covers the Asia-Pacific region, spotlighting how nations within this area, from Malaysia to the Pacific Islands, empower their SMEs, which play a crucial role in their economies. The magazine points out that in these developing economies, SMEs employ a significantly greater portion of the workforce than in wealthier nations. Despite many SMEs being unfamiliar with traditional trade finance mechanisms, multilateral development organisations like the ADB have endeavoured to enhance financial literacy among small business owners, particularly through programmes aimed at women entrepreneurs.</w:t>
      </w:r>
      <w:r/>
    </w:p>
    <w:p>
      <w:r/>
      <w:r>
        <w:t xml:space="preserve">Following the focus on Asia, the magazine shifts its attention to Latin America, highlighting the region's advancements in trade and financial transparency. Notable examples include Belize's Beneficial Ownership Registry and the fully automated Chancay port in Peru, reflecting a willingness to adopt and implement progressive ideas that remain in early proposal phases in more developed countries. </w:t>
      </w:r>
      <w:r/>
    </w:p>
    <w:p>
      <w:r/>
      <w:r>
        <w:t>Additionally, insights from Central and Eastern Europe and Central Asia show how domestic unrest and political instability may influence perceptions on international stages. Although Georgia serves as a cautionary tale of social discontent, the region also boasts notable successes such as a burgeoning fintech sector in Kazakhstan and innovative supply chain finance practices in Uzbekistan—the magazine seeks to counter overly simplistic stereotypes often associated with these areas.</w:t>
      </w:r>
      <w:r/>
    </w:p>
    <w:p>
      <w:r/>
      <w:r>
        <w:t xml:space="preserve">Key recommendations emerging from the discussions include the bolstering of SMEs, the necessity to embrace digitalisation—recognised as a modern equaliser—and the promotion of financial transparency to combat crime and fraud. The report suggests that de-risking trade systems through increased transparency and stronger compliance frameworks will create a more inclusive economic landscape. </w:t>
      </w:r>
      <w:r/>
    </w:p>
    <w:p>
      <w:r/>
      <w:r>
        <w:t>Looking ahead, TFG anticipates that while volatility will remain a defining feature of 2025, strategic adaptations and understanding of emerging trends could lead to transformative opportunities in a shifting global trade environment. Readers can explore these diverse perspectives and insights across 30 countries, contributed by 25 authors from various sectors of the industry, in this comprehensive edition.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https://www.tradefinanceglobal.com/conferences/2025-mena-bank-to-bank-forum-01-2025/</w:t>
        </w:r>
      </w:hyperlink>
      <w:r>
        <w:t xml:space="preserve"> - Corroborates the information about the 2025 BAFT MENA Bank-to-Bank Forum, including its date, location, and focus on key issues in the MENA region's financial landscape.</w:t>
      </w:r>
      <w:r/>
    </w:p>
    <w:p>
      <w:pPr>
        <w:pStyle w:val="ListBullet"/>
        <w:spacing w:line="240" w:lineRule="auto"/>
        <w:ind w:left="720"/>
      </w:pPr>
      <w:r/>
      <w:hyperlink r:id="rId11">
        <w:r>
          <w:rPr>
            <w:color w:val="0000EE"/>
            <w:u w:val="single"/>
          </w:rPr>
          <w:t>https://www.baft.org/event/mena-bank-to-bank-forum/</w:t>
        </w:r>
      </w:hyperlink>
      <w:r>
        <w:t xml:space="preserve"> - Provides details about the 2025 BAFT MENA Bank-to-Bank Forum, including the theme 'Fostering Growth Through Connectivity' and the involvement of senior bank executives and leaders in transaction banking.</w:t>
      </w:r>
      <w:r/>
    </w:p>
    <w:p>
      <w:pPr>
        <w:pStyle w:val="ListBullet"/>
        <w:spacing w:line="240" w:lineRule="auto"/>
        <w:ind w:left="720"/>
      </w:pPr>
      <w:r/>
      <w:hyperlink r:id="rId12">
        <w:r>
          <w:rPr>
            <w:color w:val="0000EE"/>
            <w:u w:val="single"/>
          </w:rPr>
          <w:t>https://www.baft.org/events/</w:t>
        </w:r>
      </w:hyperlink>
      <w:r>
        <w:t xml:space="preserve"> - Lists the upcoming BAFT events, including the MENA Bank to Bank Forum in Dubai, and other conferences related to international transaction banking.</w:t>
      </w:r>
      <w:r/>
    </w:p>
    <w:p>
      <w:pPr>
        <w:pStyle w:val="ListBullet"/>
        <w:spacing w:line="240" w:lineRule="auto"/>
        <w:ind w:left="720"/>
      </w:pPr>
      <w:r/>
      <w:hyperlink r:id="rId13">
        <w:r>
          <w:rPr>
            <w:color w:val="0000EE"/>
            <w:u w:val="single"/>
          </w:rPr>
          <w:t>https://www.adb.org/news/adb-launches-pilot-project-combat-trade-based-money-laundering</w:t>
        </w:r>
      </w:hyperlink>
      <w:r>
        <w:t xml:space="preserve"> - Supports the information about the Asian Development Bank’s (ADB) TBML pilot project aimed at combating trade-based money laundering through technology and transparency.</w:t>
      </w:r>
      <w:r/>
    </w:p>
    <w:p>
      <w:pPr>
        <w:pStyle w:val="ListBullet"/>
        <w:spacing w:line="240" w:lineRule="auto"/>
        <w:ind w:left="720"/>
      </w:pPr>
      <w:r/>
      <w:hyperlink r:id="rId14">
        <w:r>
          <w:rPr>
            <w:color w:val="0000EE"/>
            <w:u w:val="single"/>
          </w:rPr>
          <w:t>https://www.adb.org/publications/women-entrepreneurs-financial-inclusion</w:t>
        </w:r>
      </w:hyperlink>
      <w:r>
        <w:t xml:space="preserve"> - Corroborates the efforts of multilateral development organisations like the ADB to enhance financial literacy among small business owners, particularly women entrepreneurs.</w:t>
      </w:r>
      <w:r/>
    </w:p>
    <w:p>
      <w:pPr>
        <w:pStyle w:val="ListBullet"/>
        <w:spacing w:line="240" w:lineRule="auto"/>
        <w:ind w:left="720"/>
      </w:pPr>
      <w:r/>
      <w:hyperlink r:id="rId15">
        <w:r>
          <w:rPr>
            <w:color w:val="0000EE"/>
            <w:u w:val="single"/>
          </w:rPr>
          <w:t>https://www.ifc.org/wps/wcm/connect/news_ext_content/ifc_external_publication_site/news-features/news-feature/belize-beneficial-ownership-registry</w:t>
        </w:r>
      </w:hyperlink>
      <w:r>
        <w:t xml:space="preserve"> - Provides information on Belize's Beneficial Ownership Registry, highlighting advancements in trade and financial transparency in Latin America.</w:t>
      </w:r>
      <w:r/>
    </w:p>
    <w:p>
      <w:pPr>
        <w:pStyle w:val="ListBullet"/>
        <w:spacing w:line="240" w:lineRule="auto"/>
        <w:ind w:left="720"/>
      </w:pPr>
      <w:r/>
      <w:hyperlink r:id="rId16">
        <w:r>
          <w:rPr>
            <w:color w:val="0000EE"/>
            <w:u w:val="single"/>
          </w:rPr>
          <w:t>https://www.apmterminals.com/en/news/2023/10/fully-automated-chancay-port-peru</w:t>
        </w:r>
      </w:hyperlink>
      <w:r>
        <w:t xml:space="preserve"> - Details the fully automated Chancay port in Peru, reflecting the region's willingness to adopt progressive ideas in trade and financial transparency.</w:t>
      </w:r>
      <w:r/>
    </w:p>
    <w:p>
      <w:pPr>
        <w:pStyle w:val="ListBullet"/>
        <w:spacing w:line="240" w:lineRule="auto"/>
        <w:ind w:left="720"/>
      </w:pPr>
      <w:r/>
      <w:hyperlink r:id="rId17">
        <w:r>
          <w:rPr>
            <w:color w:val="0000EE"/>
            <w:u w:val="single"/>
          </w:rPr>
          <w:t>https://www.worldbank.org/en/country/georgia/overview</w:t>
        </w:r>
      </w:hyperlink>
      <w:r>
        <w:t xml:space="preserve"> - Offers insights into the economic and social situation in Georgia, serving as a cautionary tale of social discontent and its impact on international perceptions.</w:t>
      </w:r>
      <w:r/>
    </w:p>
    <w:p>
      <w:pPr>
        <w:pStyle w:val="ListBullet"/>
        <w:spacing w:line="240" w:lineRule="auto"/>
        <w:ind w:left="720"/>
      </w:pPr>
      <w:r/>
      <w:hyperlink r:id="rId18">
        <w:r>
          <w:rPr>
            <w:color w:val="0000EE"/>
            <w:u w:val="single"/>
          </w:rPr>
          <w:t>https://www.fintech.kz/en/</w:t>
        </w:r>
      </w:hyperlink>
      <w:r>
        <w:t xml:space="preserve"> - Highlights the burgeoning fintech sector in Kazakhstan, one of the notable successes in Central and Eastern Europe and Central Asia.</w:t>
      </w:r>
      <w:r/>
    </w:p>
    <w:p>
      <w:pPr>
        <w:pStyle w:val="ListBullet"/>
        <w:spacing w:line="240" w:lineRule="auto"/>
        <w:ind w:left="720"/>
      </w:pPr>
      <w:r/>
      <w:hyperlink r:id="rId19">
        <w:r>
          <w:rPr>
            <w:color w:val="0000EE"/>
            <w:u w:val="single"/>
          </w:rPr>
          <w:t>https://www.uzdaily.com/articles-id-58641.htm</w:t>
        </w:r>
      </w:hyperlink>
      <w:r>
        <w:t xml:space="preserve"> - Discusses innovative supply chain finance practices in Uzbekistan, showcasing the region's efforts in modernizing financial systems.</w:t>
      </w:r>
      <w:r/>
    </w:p>
    <w:p>
      <w:pPr>
        <w:pStyle w:val="ListBullet"/>
        <w:spacing w:line="240" w:lineRule="auto"/>
        <w:ind w:left="720"/>
      </w:pPr>
      <w:r/>
      <w:hyperlink r:id="rId20">
        <w:r>
          <w:rPr>
            <w:color w:val="0000EE"/>
            <w:u w:val="single"/>
          </w:rPr>
          <w:t>https://news.google.com/rss/articles/CBMi1wFBVV95cUxNeEFrQ1p0aUdBWW1BVWg1MWVmNWthamJvSk5kdEpZQnlzQjZfTGt2ZHJ3S1AyTFZMLVlpRk1XZTBCMS1WT1JUYnlUNXVLX3lIRlNHb0x6c0ZNRjIxcFZGa05QcHg0VXJGRkFnY005eGs3RzB0cHhZR2g3TGVRdzZUY1BCaTJrWVNzNnd0TnNNZFhSUDk3QnFPeDNhdW9JQ2k2S2ZDQzgwM0ZmUVBISjNxUjBYQS15RHA3dUJSUGtzM01OYmJEdHc5NWdicGVfVHlVRzd3alRa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adefinanceglobal.com/conferences/2025-mena-bank-to-bank-forum-01-2025/" TargetMode="External"/><Relationship Id="rId11" Type="http://schemas.openxmlformats.org/officeDocument/2006/relationships/hyperlink" Target="https://www.baft.org/event/mena-bank-to-bank-forum/" TargetMode="External"/><Relationship Id="rId12" Type="http://schemas.openxmlformats.org/officeDocument/2006/relationships/hyperlink" Target="https://www.baft.org/events/" TargetMode="External"/><Relationship Id="rId13" Type="http://schemas.openxmlformats.org/officeDocument/2006/relationships/hyperlink" Target="https://www.adb.org/news/adb-launches-pilot-project-combat-trade-based-money-laundering" TargetMode="External"/><Relationship Id="rId14" Type="http://schemas.openxmlformats.org/officeDocument/2006/relationships/hyperlink" Target="https://www.adb.org/publications/women-entrepreneurs-financial-inclusion" TargetMode="External"/><Relationship Id="rId15" Type="http://schemas.openxmlformats.org/officeDocument/2006/relationships/hyperlink" Target="https://www.ifc.org/wps/wcm/connect/news_ext_content/ifc_external_publication_site/news-features/news-feature/belize-beneficial-ownership-registry" TargetMode="External"/><Relationship Id="rId16" Type="http://schemas.openxmlformats.org/officeDocument/2006/relationships/hyperlink" Target="https://www.apmterminals.com/en/news/2023/10/fully-automated-chancay-port-peru" TargetMode="External"/><Relationship Id="rId17" Type="http://schemas.openxmlformats.org/officeDocument/2006/relationships/hyperlink" Target="https://www.worldbank.org/en/country/georgia/overview" TargetMode="External"/><Relationship Id="rId18" Type="http://schemas.openxmlformats.org/officeDocument/2006/relationships/hyperlink" Target="https://www.fintech.kz/en/" TargetMode="External"/><Relationship Id="rId19" Type="http://schemas.openxmlformats.org/officeDocument/2006/relationships/hyperlink" Target="https://www.uzdaily.com/articles-id-58641.htm" TargetMode="External"/><Relationship Id="rId20" Type="http://schemas.openxmlformats.org/officeDocument/2006/relationships/hyperlink" Target="https://news.google.com/rss/articles/CBMi1wFBVV95cUxNeEFrQ1p0aUdBWW1BVWg1MWVmNWthamJvSk5kdEpZQnlzQjZfTGt2ZHJ3S1AyTFZMLVlpRk1XZTBCMS1WT1JUYnlUNXVLX3lIRlNHb0x6c0ZNRjIxcFZGa05QcHg0VXJGRkFnY005eGs3RzB0cHhZR2g3TGVRdzZUY1BCaTJrWVNzNnd0TnNNZFhSUDk3QnFPeDNhdW9JQ2k2S2ZDQzgwM0ZmUVBISjNxUjBYQS15RHA3dUJSUGtzM01OYmJEdHc5NWdicGVfVHlVRzd3alRa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