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Cryptocurrency markets shaken by rise of Chinese AI startup DeepSeek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cryptocurrency markets have recently experienced significant upheaval, largely attributed to the emergence of the Chinese AI startup DeepSeek. On January 27, 2025, Bitcoin and various altcoins suffered substantial losses, which sparked widespread concern among investors. This tumultuous event led to nearly $1 billion worth of liquidations, marking a critical moment in the ongoing evolution of financial ecosystems influenced by rapidly advancing artificial intelligence technologies.</w:t>
      </w:r>
    </w:p>
    <w:p>
      <w:r>
        <w:t>Founded less than two years ago, DeepSeek has quickly established itself as a formidable player in the AI landscape, positioning itself against established competitors like OpenAI, Meta, and Nvidia. Industry experts are raising alarms about the long-term implications of DeepSeek's ascent, extending beyond the cryptocurrency realm into broader technology valuations. Analysts noted a stark reaction in the market where Bitcoin's value dropped over 5% within a matter of hours, prompting many investors to reevaluate their holdings.</w:t>
      </w:r>
    </w:p>
    <w:p>
      <w:r>
        <w:t>The sell-off was marked by a rapid and brutal response with data from Coinglass indicating that 316,282 traders faced liquidation, resulting in total liquidations reaching $861.48 million. Ash Crypto explained the phenomenon observed, remarking, "It has nothing to do with the crypto market, but everything to do with the US stock market," highlighting the intricate connections between various investment sectors. This sentiment mirrors a widespread investor retreat from riskier assets, driven by uncertainties related to DeepSeek's advancements.</w:t>
      </w:r>
    </w:p>
    <w:p>
      <w:r>
        <w:t>Ran Neuner echoed concerns about the potential ripple effects, saying, "If these stocks take a hit, people will lose wealth, and this could crash all risk markets as people flee risk." The cautious tone surrounding the cryptocurrency market is indicative of wider tech market cycles, where perceptions of asset value can drastically change in a short span.</w:t>
      </w:r>
    </w:p>
    <w:p>
      <w:r>
        <w:t>The repercussions of DeepSeek's influence were also evident in the market capitalisation of AI-centric crypto tokens, which experienced a nearly 13% decline, falling to approximately $36.4 billion. This drop raises important questions regarding the stability of cryptocurrencies tied to emerging technologies. Technical analyst Kyledoops underscored this correlation, stating, "BTC is falling today due to China's AI DeepSeek triggering market reactions," further enhancing the backdrop of interlinked financial crises.</w:t>
      </w:r>
    </w:p>
    <w:p>
      <w:r>
        <w:t>The fallout has not been confined only to Bitcoin; it has also deeply affected altcoins such as Solana and Ethereum, both of which recorded losses ranging from 8% to 12%. Leading cryptocurrency analysts have noted a pervasive ripple effect throughout the market, urging traders and investors to remain alert for any further unforeseen fluctuations.</w:t>
      </w:r>
    </w:p>
    <w:p>
      <w:r>
        <w:t>Experts like Tommy Shaughnessy from Delphi Ventures are emphasising the implications of DeepSeek's advances on the future of technological infrastructure. He noted, "DeepSeek is securing an open-source future…and forcing all AI labs to accelerate innovation," suggesting a shift in established norms within the technology sector driven by the rapid pace of innovation.</w:t>
      </w:r>
    </w:p>
    <w:p>
      <w:r>
        <w:t>Amidst the immediate turmoil, the future landscape remains a topic of debate. Adam Kobeissi, founder of The Kobeissi Letter, highlighted deeper questions regarding competition between emerging players, stating, "How can these two companies now be competitors?" This inquiry captures the shifting dynamics of innovation in the AI space, particularly in relation to more established entities like OpenAI.</w:t>
      </w:r>
    </w:p>
    <w:p>
      <w:r>
        <w:t>While the current atmosphere is charged with uncertainty, some analysts express a measured optimism regarding the transformative role AI could play within cryptocurrency markets. The ongoing risk dynamics are palpable, and as the markets recalibrate in response to recent technological developments, they prompt speculation about potential opportunities that may arise. Some investors may view this downturn as a strategic buying opportunity, anticipating a recovery once market conditions stabilise.</w:t>
      </w:r>
    </w:p>
    <w:p>
      <w:r>
        <w:t>In summary, as the cryptocurrency sector contemplates the implications of DeepSeek's rise amidst broader technological recalibrations, the marked volatility highlights the sensitive nature of the digital asset landscape. Investors and traders must navigate these evolving conditions with vigilance, integrating technological advancements and macroeconomic factors into their strategies in this unpredictable investment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https://www.tradingview.com/news/financemagnates:2d92b0c23094b:0-deepseek-ai-predicts-xrp-to-reach-5-and-bitcoin-to-hit-500k-in-2025/</w:t>
        </w:r>
      </w:hyperlink>
      <w:r>
        <w:t xml:space="preserve"> - This article discusses DeepSeek AI's predictions for cryptocurrencies like Bitcoin and XRP, highlighting the impact of AI on the crypto market.</w:t>
      </w:r>
    </w:p>
    <w:p>
      <w:pPr>
        <w:pStyle w:val="ListBullet"/>
      </w:pPr>
      <w:hyperlink r:id="rId12">
        <w:r>
          <w:rPr>
            <w:u w:val="single"/>
            <w:color w:val="0000FF"/>
            <w:rStyle w:val="Hyperlink"/>
          </w:rPr>
          <w:t>https://html.spec.whatwg.org</w:t>
        </w:r>
      </w:hyperlink>
      <w:r>
        <w:t xml:space="preserve"> - This link provides information on HTML standards, which is not directly relevant to the article but could be useful for understanding web technologies.</w:t>
      </w:r>
    </w:p>
    <w:p>
      <w:pPr>
        <w:pStyle w:val="ListBullet"/>
      </w:pPr>
      <w:hyperlink r:id="rId13">
        <w:r>
          <w:rPr>
            <w:u w:val="single"/>
            <w:color w:val="0000FF"/>
            <w:rStyle w:val="Hyperlink"/>
          </w:rPr>
          <w:t>https://creativecommons.org/faq/</w:t>
        </w:r>
      </w:hyperlink>
      <w:r>
        <w:t xml:space="preserve"> - This FAQ page from Creative Commons provides information on licensing and legal tools, which is not directly relevant to the article.</w:t>
      </w:r>
    </w:p>
    <w:p>
      <w:pPr>
        <w:pStyle w:val="ListBullet"/>
      </w:pPr>
      <w:hyperlink r:id="rId14">
        <w:r>
          <w:rPr>
            <w:u w:val="single"/>
            <w:color w:val="0000FF"/>
            <w:rStyle w:val="Hyperlink"/>
          </w:rPr>
          <w:t>https://sustainabledevelopment.un.org/content/documents/5987our-common-future.pdf</w:t>
        </w:r>
      </w:hyperlink>
      <w:r>
        <w:t xml:space="preserve"> - This report from the World Commission on Environment and Development discusses sustainable development, which is not directly relevant to the article.</w:t>
      </w:r>
    </w:p>
    <w:p>
      <w:pPr>
        <w:pStyle w:val="ListBullet"/>
      </w:pPr>
      <w:hyperlink r:id="rId15">
        <w:r>
          <w:rPr>
            <w:u w:val="single"/>
            <w:color w:val="0000FF"/>
            <w:rStyle w:val="Hyperlink"/>
          </w:rPr>
          <w:t>https://www.coinglass.com/</w:t>
        </w:r>
      </w:hyperlink>
      <w:r>
        <w:t xml:space="preserve"> - Coinglass provides data on cryptocurrency liquidations, which is relevant to the article's discussion of market volatility.</w:t>
      </w:r>
    </w:p>
    <w:p>
      <w:pPr>
        <w:pStyle w:val="ListBullet"/>
      </w:pPr>
      <w:hyperlink r:id="rId10">
        <w:r>
          <w:rPr>
            <w:u w:val="single"/>
            <w:color w:val="0000FF"/>
            <w:rStyle w:val="Hyperlink"/>
          </w:rPr>
          <w:t>https://www.noahwire.com</w:t>
        </w:r>
      </w:hyperlink>
      <w:r>
        <w:t xml:space="preserve"> - This is the source of the original article, providing context on the cryptocurrency market and DeepSeek's influence.</w:t>
      </w:r>
    </w:p>
    <w:p>
      <w:pPr>
        <w:pStyle w:val="ListBullet"/>
      </w:pPr>
      <w:hyperlink r:id="rId16">
        <w:r>
          <w:rPr>
            <w:u w:val="single"/>
            <w:color w:val="0000FF"/>
            <w:rStyle w:val="Hyperlink"/>
          </w:rPr>
          <w:t>https://www.openai.com/</w:t>
        </w:r>
      </w:hyperlink>
      <w:r>
        <w:t xml:space="preserve"> - OpenAI is a competitor to DeepSeek, and understanding its role in the AI landscape is relevant to the article.</w:t>
      </w:r>
    </w:p>
    <w:p>
      <w:pPr>
        <w:pStyle w:val="ListBullet"/>
      </w:pPr>
      <w:hyperlink r:id="rId17">
        <w:r>
          <w:rPr>
            <w:u w:val="single"/>
            <w:color w:val="0000FF"/>
            <w:rStyle w:val="Hyperlink"/>
          </w:rPr>
          <w:t>https://www.meta.com/</w:t>
        </w:r>
      </w:hyperlink>
      <w:r>
        <w:t xml:space="preserve"> - Meta is another major player in the AI and tech industry, relevant to discussions of competition and innovation.</w:t>
      </w:r>
    </w:p>
    <w:p>
      <w:pPr>
        <w:pStyle w:val="ListBullet"/>
      </w:pPr>
      <w:hyperlink r:id="rId18">
        <w:r>
          <w:rPr>
            <w:u w:val="single"/>
            <w:color w:val="0000FF"/>
            <w:rStyle w:val="Hyperlink"/>
          </w:rPr>
          <w:t>https://www.nvidia.com/</w:t>
        </w:r>
      </w:hyperlink>
      <w:r>
        <w:t xml:space="preserve"> - Nvidia is a leading company in AI technology, and its position in the market is relevant to the article's discussion of DeepSeek's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adingview.com/news/financemagnates:2d92b0c23094b:0-deepseek-ai-predicts-xrp-to-reach-5-and-bitcoin-to-hit-500k-in-2025/" TargetMode="External"/><Relationship Id="rId12" Type="http://schemas.openxmlformats.org/officeDocument/2006/relationships/hyperlink" Target="https://html.spec.whatwg.org" TargetMode="External"/><Relationship Id="rId13" Type="http://schemas.openxmlformats.org/officeDocument/2006/relationships/hyperlink" Target="https://creativecommons.org/faq/" TargetMode="External"/><Relationship Id="rId14" Type="http://schemas.openxmlformats.org/officeDocument/2006/relationships/hyperlink" Target="https://sustainabledevelopment.un.org/content/documents/5987our-common-future.pdf" TargetMode="External"/><Relationship Id="rId15" Type="http://schemas.openxmlformats.org/officeDocument/2006/relationships/hyperlink" Target="https://www.coinglass.com/" TargetMode="External"/><Relationship Id="rId16" Type="http://schemas.openxmlformats.org/officeDocument/2006/relationships/hyperlink" Target="https://www.openai.com/" TargetMode="External"/><Relationship Id="rId17" Type="http://schemas.openxmlformats.org/officeDocument/2006/relationships/hyperlink" Target="https://www.meta.com/" TargetMode="External"/><Relationship Id="rId18" Type="http://schemas.openxmlformats.org/officeDocument/2006/relationships/hyperlink" Target="https://www.nvi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