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Marketing communications agencies face transformative changes by 2025</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As the landscape of marketing communications agencies evolves, industry experts are predicting significant transformations by 2025, largely influenced by advancements in AI automation and emerging technologies. The Drum has been at the forefront of these insights, showcasing various agencies poised for prominence in the near future.</w:t>
      </w:r>
    </w:p>
    <w:p>
      <w:r>
        <w:t>In its ongoing Predictions event, The Drum has spotlighted several agencies recognised for their exceptional performance with The Drum Recommends status. Notable agencies highlighted include AMV BBDO, Hearts &amp; Science, Code and Theory, FCB, Mower, Whalar, Area 23, David Madrid, and Zulu Alpha Kilo. The focus on these agencies stems from their ability to adapt to and leverage crucial trends within the industry.</w:t>
      </w:r>
    </w:p>
    <w:p>
      <w:r>
        <w:t>Mark Green, global CEO of Droga5, conveyed his views on the future, emphasising the need for brands to strive for unification amidst a divisive landscape. "Fighting evil in the algorithm... Growth for brands will be in unifying, not dividing," he stated, underlining the importance of creativity as a differentiator in an era where ideas are replicated quickly. Green also expressed confidence in the agency's capabilities, stating plans for a globally integrated Droga5 that would blend creativity, technology, and consulting, thus pushing the boundaries of traditional advertising.</w:t>
      </w:r>
    </w:p>
    <w:p>
      <w:r>
        <w:t>Simultaneously, the incoming CEO of PHD UK, Paul Knight, emphasised the significance of seamless integration in a market characterised by media fragmentation. He described 2025 as a year where agencies must harness AI to enhance efficiency across various operations, including audience recognition and creative processes. This would facilitate creating more cohesive consumer experiences.</w:t>
      </w:r>
    </w:p>
    <w:p>
      <w:r>
        <w:t>As industries evolve with creative advancements, Sarah Nugent, managing director of PHD London, highlighted their commitment to developing products and services aimed at overcoming contemporary challenges. The agency recorded a successful year, managing to retain significant client accounts and acquiring new ones, preparing for the upcoming year with initiatives like Culture Currents, a platform offering cultural insights into brand perspectives.</w:t>
      </w:r>
    </w:p>
    <w:p>
      <w:r>
        <w:t>Uncommon’s Nils Leonard outlined a future where AI's influence does not stifle creativity but elevates it. He asserted, "AI won’t define 2025 – our reaction to it will," suggesting that the imperative for creativity would grow stronger in a space where mass production of content is possible.</w:t>
      </w:r>
    </w:p>
    <w:p>
      <w:r>
        <w:t>Wavemaker’s projections revealed concerns surrounding new advertising regulations and ongoing competitive pressures among brands, as they navigate the implications of HFSS legislation. The agency's strategy moving forward includes focusing on intelligent AI use to enhance creativity and drive successful outcomes for clients.</w:t>
      </w:r>
    </w:p>
    <w:p>
      <w:r>
        <w:t>The B2B sector is also not immune to these evolving trends. Stein IAS is embracing the Brand-to-Demand Experience (BDX) framework, aimed at unifying strategies across brand building and demand generation. New global CEO Kate MacNevin emphasised their commitment to steering growth through a focus on brand strength, recognizing its essential role in driving sustainable demand.</w:t>
      </w:r>
    </w:p>
    <w:p>
      <w:r>
        <w:t>Celebrated campaigns from these agencies demonstrate innovative approaches that embrace modern technology and creative solutions. Droga5's collaboration with Dove on the ‘Campaign for Real Beauty’ showcased the agency’s focus on authenticity in response to evolving technology. PHD UK's impactful campaigns included the ‘Streams of (un)consciousness’ communicating critical public health messages through influencer engagement.</w:t>
      </w:r>
    </w:p>
    <w:p>
      <w:r>
        <w:t>Overall, as businesses face the integration of advanced AI tools and shifting consumer expectations, the marketing and communications landscape will undoubtedly undergo a substantial transformation by 2025. The insights from The Drum reflect both optimism and readiness from these agencies to harness emerging opportunities while confronting the challenges inherent in an ever-evolving digital environment.</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https://events.thedrum.com/predictions/agenda</w:t>
        </w:r>
      </w:hyperlink>
      <w:r>
        <w:t xml:space="preserve"> - </w:t>
      </w:r>
    </w:p>
    <w:p>
      <w:pPr>
        <w:pStyle w:val="ListBullet"/>
      </w:pPr>
      <w:hyperlink r:id="rId12">
        <w:r>
          <w:rPr>
            <w:u w:val="single"/>
            <w:color w:val="0000FF"/>
            <w:rStyle w:val="Hyperlink"/>
          </w:rPr>
          <w:t>https://www.thedrum.com/</w:t>
        </w:r>
      </w:hyperlink>
      <w:r>
        <w:t xml:space="preserve"> - </w:t>
      </w:r>
    </w:p>
    <w:p>
      <w:pPr>
        <w:pStyle w:val="ListBullet"/>
      </w:pPr>
      <w:hyperlink r:id="rId13">
        <w:r>
          <w:rPr>
            <w:u w:val="single"/>
            <w:color w:val="0000FF"/>
            <w:rStyle w:val="Hyperlink"/>
          </w:rPr>
          <w:t>https://www.droga5.com/</w:t>
        </w:r>
      </w:hyperlink>
      <w:r>
        <w:t xml:space="preserve"> - </w:t>
      </w:r>
    </w:p>
    <w:p>
      <w:pPr>
        <w:pStyle w:val="ListBullet"/>
      </w:pPr>
      <w:hyperlink r:id="rId14">
        <w:r>
          <w:rPr>
            <w:u w:val="single"/>
            <w:color w:val="0000FF"/>
            <w:rStyle w:val="Hyperlink"/>
          </w:rPr>
          <w:t>https://www.phdmedia.com/</w:t>
        </w:r>
      </w:hyperlink>
      <w:r>
        <w:t xml:space="preserve"> - </w:t>
      </w:r>
    </w:p>
    <w:p>
      <w:pPr>
        <w:pStyle w:val="ListBullet"/>
      </w:pPr>
      <w:hyperlink r:id="rId15">
        <w:r>
          <w:rPr>
            <w:u w:val="single"/>
            <w:color w:val="0000FF"/>
            <w:rStyle w:val="Hyperlink"/>
          </w:rPr>
          <w:t>https://www.uncommon.london/</w:t>
        </w:r>
      </w:hyperlink>
      <w:r>
        <w:t xml:space="preserve"> - </w:t>
      </w:r>
    </w:p>
    <w:p>
      <w:pPr>
        <w:pStyle w:val="ListBullet"/>
      </w:pPr>
      <w:hyperlink r:id="rId16">
        <w:r>
          <w:rPr>
            <w:u w:val="single"/>
            <w:color w:val="0000FF"/>
            <w:rStyle w:val="Hyperlink"/>
          </w:rPr>
          <w:t>https://www.wavemaker.com/</w:t>
        </w:r>
      </w:hyperlink>
      <w:r>
        <w:t xml:space="preserve"> - </w:t>
      </w:r>
    </w:p>
    <w:p>
      <w:pPr>
        <w:pStyle w:val="ListBullet"/>
      </w:pPr>
      <w:hyperlink r:id="rId17">
        <w:r>
          <w:rPr>
            <w:u w:val="single"/>
            <w:color w:val="0000FF"/>
            <w:rStyle w:val="Hyperlink"/>
          </w:rPr>
          <w:t>https://www.steinias.com/</w:t>
        </w:r>
      </w:hyperlink>
      <w:r>
        <w:t xml:space="preserve"> - </w:t>
      </w:r>
    </w:p>
    <w:p>
      <w:pPr>
        <w:pStyle w:val="ListBullet"/>
      </w:pPr>
      <w:hyperlink r:id="rId18">
        <w:r>
          <w:rPr>
            <w:u w:val="single"/>
            <w:color w:val="0000FF"/>
            <w:rStyle w:val="Hyperlink"/>
          </w:rPr>
          <w:t>https://www.amvbbdo.com/</w:t>
        </w:r>
      </w:hyperlink>
      <w:r>
        <w:t xml:space="preserve"> - </w:t>
      </w:r>
    </w:p>
    <w:p>
      <w:pPr>
        <w:pStyle w:val="ListBullet"/>
      </w:pPr>
      <w:hyperlink r:id="rId19">
        <w:r>
          <w:rPr>
            <w:u w:val="single"/>
            <w:color w:val="0000FF"/>
            <w:rStyle w:val="Hyperlink"/>
          </w:rPr>
          <w:t>https://www.heartsandscience.com/</w:t>
        </w:r>
      </w:hyperlink>
      <w:r>
        <w:t xml:space="preserve"> -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events.thedrum.com/predictions/agenda" TargetMode="External"/><Relationship Id="rId12" Type="http://schemas.openxmlformats.org/officeDocument/2006/relationships/hyperlink" Target="https://www.thedrum.com/" TargetMode="External"/><Relationship Id="rId13" Type="http://schemas.openxmlformats.org/officeDocument/2006/relationships/hyperlink" Target="https://www.droga5.com/" TargetMode="External"/><Relationship Id="rId14" Type="http://schemas.openxmlformats.org/officeDocument/2006/relationships/hyperlink" Target="https://www.phdmedia.com/" TargetMode="External"/><Relationship Id="rId15" Type="http://schemas.openxmlformats.org/officeDocument/2006/relationships/hyperlink" Target="https://www.uncommon.london/" TargetMode="External"/><Relationship Id="rId16" Type="http://schemas.openxmlformats.org/officeDocument/2006/relationships/hyperlink" Target="https://www.wavemaker.com/" TargetMode="External"/><Relationship Id="rId17" Type="http://schemas.openxmlformats.org/officeDocument/2006/relationships/hyperlink" Target="https://www.steinias.com/" TargetMode="External"/><Relationship Id="rId18" Type="http://schemas.openxmlformats.org/officeDocument/2006/relationships/hyperlink" Target="https://www.amvbbdo.com/" TargetMode="External"/><Relationship Id="rId19" Type="http://schemas.openxmlformats.org/officeDocument/2006/relationships/hyperlink" Target="https://www.heartsandscienc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