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compliance with the Working Time Directive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Ensuring compliance with the Working Time Directive (WTD) poses significant challenges for businesses, especially those operating across multiple locations with large workforces. Adhering to the legal requirements of tracking employee working hours, preventing fatigue-related incidents, and managing compliance entails navigating a complex landscape. The consequences of non-compliance can be serious, affecting both employee well-being and company operations.</w:t>
      </w:r>
    </w:p>
    <w:p>
      <w:r>
        <w:t>The WTD serves to protect employees by establishing legal limits on working hours, which include several notable key points: Employees are prohibited from working more than 48 hours per week averaged over a 17-week period unless they opt out. For workers under the age of 18, there are additional restrictions, limiting their working hours to 8 hours per day or 40 hours per week. Furthermore, any opt-out must be voluntary and done in writing, with employees allowed to opt back in with proper notice.</w:t>
      </w:r>
    </w:p>
    <w:p>
      <w:r>
        <w:t>When addressing overtime, employers have the discretion to not provide higher rates unless specifically outlined in an employment contract. Employees who have not opted out can exceed the 48-hour limit in a single week but must ensure their average over the 17-week span remains legally compliant. Importantly, there are protections against unfair treatment for employees who refuse to opt out.</w:t>
      </w:r>
    </w:p>
    <w:p>
      <w:r>
        <w:t>For industries demanding 24-hour staffing, maintaining compliance becomes intricate, particularly concerning on-call hours. Different scenarios dictate how on-call time is classified: If an employee is required to remain at a particular location for immediate response, this is counted as working time. Conversely, if an employee only needs to be reachable by phone and can engage in personal activities, this time is generally not counted until they commence active work. Once duties begin, the employee must be compensated for that time.</w:t>
      </w:r>
    </w:p>
    <w:p>
      <w:r>
        <w:t>Monitoring and managing staff fatigue is not solely a matter of compliance; it is a pressing safety issue as well. Poorly handled working hours can result in decreased concentration and decision-making capabilities, leading to an elevated risk of accidents both on-site and on the road, alongside the potential for long-term health issues and decreased productivity.</w:t>
      </w:r>
    </w:p>
    <w:p>
      <w:r>
        <w:t xml:space="preserve">Managing compliance effectively is essential for safeguarding both workers and business operations. Automated solutions, such as those offered by Re-flow, facilitate adherence to these regulations. The company’s fatigue tracking feature is designed to streamline operations, reduce human error, and help ensure that safety standards are maintained. </w:t>
      </w:r>
    </w:p>
    <w:p>
      <w:r>
        <w:t xml:space="preserve">Re-flow offers automation that simplifies compliance by maximising efficiency across shifts, locations, and teams. The system incorporates fatigue management into scheduling, actively preventing non-compliance risks before they arise. When operatives are assigned to jobs, the system automatically checks against preset criteria, blocking any schedules that could exceed legal limits. This digital framework produces a comprehensive database of working hours, giving managers real-time visibility into scheduling while reducing administrative burdens. The software flags excessive working hours, effectively mitigating the risk of severe incidents and potential fines. </w:t>
      </w:r>
    </w:p>
    <w:p>
      <w:r>
        <w:t>Moreover, Re-flow’s platform is customisable, enabling businesses to implement automated restrictions tailored to their specific operational needs. Companies can establish limits on maximum hours per shift or week, impose necessary breaks, enforce minimum rest periods, and set up notification triggers for administrative teams to manage scheduling conflicts efficiently.</w:t>
      </w:r>
    </w:p>
    <w:p>
      <w:r>
        <w:t>This technology aims to eliminate manual oversight, rendering compliance an automatic process. With such innovations in fatigue tracking and compliance management, businesses can focus on operational efficiency and safety, allowing them to concentrate on their core functions while aligning with legal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https://www.teamwork.com/blog/eu-working-time-directive/</w:t>
        </w:r>
      </w:hyperlink>
      <w:r>
        <w:t xml:space="preserve"> - This URL provides information on the EU Working Time Directive, including the requirement for businesses to track employee working hours and manage compliance to avoid fines and legal issues.</w:t>
      </w:r>
    </w:p>
    <w:p>
      <w:pPr>
        <w:pStyle w:val="ListBullet"/>
      </w:pPr>
      <w:hyperlink r:id="rId12">
        <w:r>
          <w:rPr>
            <w:u w:val="single"/>
            <w:color w:val="0000FF"/>
            <w:rStyle w:val="Hyperlink"/>
          </w:rPr>
          <w:t>https://ec.europa.eu/social/main.jsp?catId=706&amp;langId=en</w:t>
        </w:r>
      </w:hyperlink>
      <w:r>
        <w:t xml:space="preserve"> - This European Commission webpage explains the Working Time Directive's key provisions, such as the 48-hour workweek limit and protections for young workers.</w:t>
      </w:r>
    </w:p>
    <w:p>
      <w:pPr>
        <w:pStyle w:val="ListBullet"/>
      </w:pPr>
      <w:hyperlink r:id="rId13">
        <w:r>
          <w:rPr>
            <w:u w:val="single"/>
            <w:color w:val="0000FF"/>
            <w:rStyle w:val="Hyperlink"/>
          </w:rPr>
          <w:t>https://www.hse.gov.uk/work-related-stress/index.htm</w:t>
        </w:r>
      </w:hyperlink>
      <w:r>
        <w:t xml:space="preserve"> - This Health and Safety Executive (HSE) page discusses the importance of managing work-related stress and fatigue, which is a critical aspect of compliance with the Working Time Directive.</w:t>
      </w:r>
    </w:p>
    <w:p>
      <w:pPr>
        <w:pStyle w:val="ListBullet"/>
      </w:pPr>
      <w:hyperlink r:id="rId14">
        <w:r>
          <w:rPr>
            <w:u w:val="single"/>
            <w:color w:val="0000FF"/>
            <w:rStyle w:val="Hyperlink"/>
          </w:rPr>
          <w:t>https://www.legislation.gov.uk/ukpga/1998/23/contents</w:t>
        </w:r>
      </w:hyperlink>
      <w:r>
        <w:t xml:space="preserve"> - This UK legislation page provides details on the Working Time Regulations, which implement the EU Working Time Directive in the UK.</w:t>
      </w:r>
    </w:p>
    <w:p>
      <w:pPr>
        <w:pStyle w:val="ListBullet"/>
      </w:pPr>
      <w:hyperlink r:id="rId15">
        <w:r>
          <w:rPr>
            <w:u w:val="single"/>
            <w:color w:val="0000FF"/>
            <w:rStyle w:val="Hyperlink"/>
          </w:rPr>
          <w:t>https://www.cipd.co.uk/knowledge/fundamentals/employment/contracts/working-hours/factsheet</w:t>
        </w:r>
      </w:hyperlink>
      <w:r>
        <w:t xml:space="preserve"> - The Chartered Institute of Personnel and Development (CIPD) offers guidance on managing working hours and overtime, aligning with the principles of the Working Time Directive.</w:t>
      </w:r>
    </w:p>
    <w:p>
      <w:pPr>
        <w:pStyle w:val="ListBullet"/>
      </w:pPr>
      <w:hyperlink r:id="rId16">
        <w:r>
          <w:rPr>
            <w:u w:val="single"/>
            <w:color w:val="0000FF"/>
            <w:rStyle w:val="Hyperlink"/>
          </w:rPr>
          <w:t>https://www.hse.gov.uk/pubns/priced/hsg256.pdf</w:t>
        </w:r>
      </w:hyperlink>
      <w:r>
        <w:t xml:space="preserve"> - This HSE publication provides guidance on managing fatigue in the workplace, emphasizing the importance of compliance with working time regulations.</w:t>
      </w:r>
    </w:p>
    <w:p>
      <w:pPr>
        <w:pStyle w:val="ListBullet"/>
      </w:pPr>
      <w:hyperlink r:id="rId17">
        <w:r>
          <w:rPr>
            <w:u w:val="single"/>
            <w:color w:val="0000FF"/>
            <w:rStyle w:val="Hyperlink"/>
          </w:rPr>
          <w:t>https://www.gov.uk/working-time-rights/maximum-weekly-working-hours</w:t>
        </w:r>
      </w:hyperlink>
      <w:r>
        <w:t xml:space="preserve"> - This UK government webpage explains the rules regarding maximum weekly working hours and the opt-out process, as per the Working Time Directive.</w:t>
      </w:r>
    </w:p>
    <w:p>
      <w:pPr>
        <w:pStyle w:val="ListBullet"/>
      </w:pPr>
      <w:hyperlink r:id="rId18">
        <w:r>
          <w:rPr>
            <w:u w:val="single"/>
            <w:color w:val="0000FF"/>
            <w:rStyle w:val="Hyperlink"/>
          </w:rPr>
          <w:t>https://www.ilo.org/global/topics/working-time/lang--en/index.htm</w:t>
        </w:r>
      </w:hyperlink>
      <w:r>
        <w:t xml:space="preserve"> - The International Labour Organization (ILO) discusses global working time standards, which include principles similar to those in the EU Working Time Directive.</w:t>
      </w:r>
    </w:p>
    <w:p>
      <w:pPr>
        <w:pStyle w:val="ListBullet"/>
      </w:pPr>
      <w:hyperlink r:id="rId19">
        <w:r>
          <w:rPr>
            <w:u w:val="single"/>
            <w:color w:val="0000FF"/>
            <w:rStyle w:val="Hyperlink"/>
          </w:rPr>
          <w:t>https://www.acas.org.uk/working-hours</w:t>
        </w:r>
      </w:hyperlink>
      <w:r>
        <w:t xml:space="preserve"> - The Advisory, Conciliation and Arbitration Service (ACAS) provides advice on working hours and managing overtime, relevant to compliance with the Working Time Directive.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amwork.com/blog/eu-working-time-directive/" TargetMode="External"/><Relationship Id="rId12" Type="http://schemas.openxmlformats.org/officeDocument/2006/relationships/hyperlink" Target="https://ec.europa.eu/social/main.jsp?catId=706&amp;langId=en" TargetMode="External"/><Relationship Id="rId13" Type="http://schemas.openxmlformats.org/officeDocument/2006/relationships/hyperlink" Target="https://www.hse.gov.uk/work-related-stress/index.htm" TargetMode="External"/><Relationship Id="rId14" Type="http://schemas.openxmlformats.org/officeDocument/2006/relationships/hyperlink" Target="https://www.legislation.gov.uk/ukpga/1998/23/contents" TargetMode="External"/><Relationship Id="rId15" Type="http://schemas.openxmlformats.org/officeDocument/2006/relationships/hyperlink" Target="https://www.cipd.co.uk/knowledge/fundamentals/employment/contracts/working-hours/factsheet" TargetMode="External"/><Relationship Id="rId16" Type="http://schemas.openxmlformats.org/officeDocument/2006/relationships/hyperlink" Target="https://www.hse.gov.uk/pubns/priced/hsg256.pdf" TargetMode="External"/><Relationship Id="rId17" Type="http://schemas.openxmlformats.org/officeDocument/2006/relationships/hyperlink" Target="https://www.gov.uk/working-time-rights/maximum-weekly-working-hours" TargetMode="External"/><Relationship Id="rId18" Type="http://schemas.openxmlformats.org/officeDocument/2006/relationships/hyperlink" Target="https://www.ilo.org/global/topics/working-time/lang--en/index.htm" TargetMode="External"/><Relationship Id="rId19" Type="http://schemas.openxmlformats.org/officeDocument/2006/relationships/hyperlink" Target="https://www.acas.org.uk/working-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