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AMD’s Lisa Su sees a shift in GPU and custom chip demand amid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AMD’s Lisa Su Sees a Shift in GPU and Custom Chip Demand Amid AI Advancements</w:t>
      </w:r>
      <w:r/>
    </w:p>
    <w:p>
      <w:r/>
      <w:r>
        <w:rPr>
          <w:b/>
        </w:rPr>
        <w:t>California, USA</w:t>
      </w:r>
      <w:r>
        <w:t xml:space="preserve"> - AMD (Advanced Micro Devices) CEO Lisa Su has shared insights into the future of graphics processing units (GPUs) and custom chip technology, forecasting a significant shift in market demand. This anticipatory vision comes at a crucial time as AMD continues its focus on developing mainstream and mid-range GPUs to capture a larger share of the gaming market, a sector conventionally dominated by Nvidia.</w:t>
      </w:r>
      <w:r/>
    </w:p>
    <w:p>
      <w:r/>
      <w:r>
        <w:t>In a recent interaction with the Wall Street Journal, Su emphasised the potential advantages of custom chip technology over traditional GPUs. Custom chips, she noted, could offer benefits in energy efficiency, size, and cost, making them a strong contender for various applications previously relying heavily on GPUs. While GPUs are currently unparalleled in their ability to handle parallel processing tasks essential for large language models, Su suggests that the future might witness a diversification in chip architectures used across different AI applications.</w:t>
      </w:r>
      <w:r/>
    </w:p>
    <w:p>
      <w:r/>
      <w:r>
        <w:rPr>
          <w:b/>
        </w:rPr>
        <w:t>Rivalry and Market Strategy</w:t>
      </w:r>
      <w:r/>
    </w:p>
    <w:p>
      <w:r/>
      <w:r>
        <w:t>AMD's recent emphasis on gaming GPUs seeks to challenge Nvidia's longstanding leadership in the market. Nvidia’s performance in the gaming sector significantly contributes to its high market valuation. Nevertheless, Su’s comments hint at AMD's plan to not only strengthen its position in this market but to also keep an eye on the anticipated changes in chip architecture needs fueled by advancements in artificial intelligence (AI).</w:t>
      </w:r>
      <w:r/>
    </w:p>
    <w:p>
      <w:r/>
      <w:r>
        <w:rPr>
          <w:b/>
        </w:rPr>
        <w:t>Custom AI Chips Gaining Traction</w:t>
      </w:r>
      <w:r/>
    </w:p>
    <w:p>
      <w:r/>
      <w:r>
        <w:t>An emerging trend in the tech sector involves large cloud service providers like Amazon and Google developing custom AI chips for their specific requirements. This trend towards bespoke chip designs indicates a shift in how computational resources are being optimised, likely influencing future market dynamics. Such internal innovations by cloud giants illustrate the growing demand for specialised chip solutions tailored to specific performance needs.</w:t>
      </w:r>
      <w:r/>
    </w:p>
    <w:p>
      <w:r/>
      <w:r>
        <w:rPr>
          <w:b/>
        </w:rPr>
        <w:t>Market Performance and Analyst Insights</w:t>
      </w:r>
      <w:r/>
    </w:p>
    <w:p>
      <w:r/>
      <w:r>
        <w:t>Market analysts have observed that although Nvidia's stock has soared by 175% over the past year, AMD has also shown commendable growth with a 60% rise in stock value. This growth reflects investor confidence in AMD's strategic efforts and its potential to capture more significant market shares amid an evolving semiconductor landscape. Eyes remain on key performance indicators such as data centre revenue and strategic partnerships, which could further influence market trends.</w:t>
      </w:r>
      <w:r/>
    </w:p>
    <w:p>
      <w:r/>
      <w:r>
        <w:t>In recent trading activity, AMD’s stock experienced a slight increase, indicating ongoing investor interest and optimism about the company's direction towards a diversified AI computing ecosystem. Observers predict that AI computing will increasingly benefit from a combination of GPUs and custom chips, shaping a more complex and varied semiconductor market landscape.</w:t>
      </w:r>
      <w:r/>
    </w:p>
    <w:p>
      <w:r/>
      <w:r>
        <w:rPr>
          <w:b/>
        </w:rPr>
        <w:t>Future Outlook</w:t>
      </w:r>
      <w:r/>
    </w:p>
    <w:p>
      <w:r/>
      <w:r>
        <w:t>As AMD continues to navigate competitive pressures and evolving technological requirements, the company’s strategic pivots towards innovation and diversification in chip architecture are likely to be crucial. Investors and market analysts will be closely monitoring AMD's movements, particularly in how successfully it can leverage its advancements in custom chip technology alongside its existing GPU offerings. The semiconductor industry, especially in the context of AI developments, appears to be heading towards a more nuanced and specialized future, with companies like AMD positioned to capitalise on these unfolding opportunities.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