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Federal CAIO Council prioritises AI-capable infrastructure for government agencies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Federal CAIO Council Prioritises AI-Capable Infrastructure for Government Agencies</w:t>
      </w:r>
      <w:r/>
    </w:p>
    <w:p>
      <w:pPr>
        <w:pBdr>
          <w:bottom w:val="single" w:sz="6" w:space="1" w:color="auto"/>
        </w:pBdr>
      </w:pPr>
      <w:r/>
    </w:p>
    <w:p>
      <w:r/>
      <w:r>
        <w:t>In a concerted effort to bolster artificial intelligence (AI) capabilities within government agencies, the Federal Chief Artificial Intelligence Officer (CAIO) Council is placing a strong emphasis on enhancing computing power and infrastructure resilience. This initiative comes as various agencies seek to leverage AI technology to improve efficiency and service delivery.</w:t>
      </w:r>
      <w:r/>
    </w:p>
    <w:p>
      <w:r/>
      <w:r>
        <w:rPr>
          <w:b/>
        </w:rPr>
        <w:t>The Drive for Enhanced AI Infrastructure</w:t>
      </w:r>
      <w:r/>
    </w:p>
    <w:p>
      <w:r/>
      <w:r>
        <w:t>As agencies explore and implement AI technologies, they are recognising the critical need for significant technological upgrades to operationalise their AI endeavours effectively. The growing federal focus on AI underlines the necessity for understanding and meeting these infrastructural requirements.</w:t>
      </w:r>
      <w:r/>
    </w:p>
    <w:p>
      <w:r/>
      <w:r>
        <w:t>AI infrastructure is defined as the technical backbone that supports AI applications, necessitating robust IT systems. According to a spokesperson from the General Services Administration (GSA), AI applications demand specific, secure infrastructure capable of accessing and managing substantial volumes of data efficiently.</w:t>
      </w:r>
      <w:r/>
    </w:p>
    <w:p>
      <w:r/>
      <w:r>
        <w:t xml:space="preserve">“AI applications require specific, secure infrastructure to operate, as well as the ability to access large amounts of well-controlled and managed data,” the GSA spokesperson stated. </w:t>
      </w:r>
      <w:r/>
    </w:p>
    <w:p>
      <w:r/>
      <w:r>
        <w:rPr>
          <w:b/>
        </w:rPr>
        <w:t>Investing in the Future</w:t>
      </w:r>
      <w:r/>
    </w:p>
    <w:p>
      <w:r/>
      <w:r>
        <w:t>The spokesperson further highlighted the need for immediate technological investments to set the groundwork for future capabilities. By investing in AI-capable infrastructure now, agencies can ensure they are well-prepared to deliver improved services to the public, enhancing the value and impact of government operations.</w:t>
      </w:r>
      <w:r/>
    </w:p>
    <w:p>
      <w:r/>
      <w:r>
        <w:t>“AI-capable infrastructure helps agencies ensure that government services are delivering better value and impact for the people we serve,” they added.</w:t>
      </w:r>
      <w:r/>
    </w:p>
    <w:p>
      <w:r/>
      <w:r>
        <w:rPr>
          <w:b/>
        </w:rPr>
        <w:t>Implications for Government Services</w:t>
      </w:r>
      <w:r/>
    </w:p>
    <w:p>
      <w:r/>
      <w:r>
        <w:t>With AI poised to play an increasingly pivotal role in the operations of governmental bodies, the enhancements in infrastructure will likely transform how data is utilised and managed. Such advancements are instrumental in ensuring that the integration of AI in public services leads to substantive benefits, driving efficiency, accuracy, and responsiveness.</w:t>
      </w:r>
      <w:r/>
    </w:p>
    <w:p>
      <w:r/>
      <w:r>
        <w:t>While the Council’s initiatives underscore a broad federal commitment to technological modernisation, each agency’s path to operationalising AI will involve tailored infrastructural developments suited to their specific needs and objectives. As these agencies progressively implement AI solutions, the foundational investments made today will be crucial in supporting their long-term technological evolution.</w:t>
      </w:r>
      <w:r/>
    </w:p>
    <w:p>
      <w:pPr>
        <w:pBdr>
          <w:bottom w:val="single" w:sz="6" w:space="1" w:color="auto"/>
        </w:pBdr>
      </w:pPr>
      <w:r/>
    </w:p>
    <w:p>
      <w:r/>
      <w:r>
        <w:t>The ongoing prioritisation of AI-capable infrastructure by the Federal CAIO Council signals robust movement towards modernising government IT systems and enhancing service delivery through advanced AI technology. This strategic alignment aims to position federal agencies at the forefront of technological innovation, ultimately benefiting the public they serve.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