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AI market poised for significant expansion, Bain &amp; Co. reports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AI Market Poised for Significant Expansion, Bain &amp; Co. Reports</w:t>
      </w:r>
      <w:r/>
    </w:p>
    <w:p>
      <w:r/>
      <w:r>
        <w:t>In a recent analysis, Bain &amp; Company has forecasted that the global market for products associated with artificial intelligence (AI) is on track to reach financial volumes nearing $990 billion by 2027. This announcement arrives amid rapid AI adoption, which the consulting giant asserts is poised to disrupt industries and economies globally.</w:t>
      </w:r>
      <w:r/>
    </w:p>
    <w:p>
      <w:r/>
      <w:r>
        <w:t>Presented in Bain &amp; Co.'s fifth annual Global Technology Report, released on Wednesday, September 25, the findings suggest the AI market—encompassing services and hardware—will witness annual growth rates varying between 40% and 55%. For context, the firm's data indicated that the market's financial volume stood at $185 billion last year.</w:t>
      </w:r>
      <w:r/>
    </w:p>
    <w:p>
      <w:r/>
      <w:r>
        <w:t>Experts at Bain anticipate that this surge in the AI sector will generate revenues ranging from $780 billion to $990 billion. A key driver of this growth, the report notes, will be the development of more substantial AI systems and larger data centres required to train and manage these systems. The consulting firm predicts that governmental adoption of machine intelligence for improved efficiency will further bolster this trajectory.</w:t>
      </w:r>
      <w:r/>
    </w:p>
    <w:p>
      <w:r/>
      <w:r>
        <w:t>However, Bain also highlighted potential challenges accompanying this rapid growth. The escalating demand for AI technology is likely to place significant pressure on the supply chains for critical components, especially semiconductors. The consulting company warned that this strain, exacerbated by existing geopolitical tensions, might lead to shortages of semiconductors, smartphones, and personal computers.</w:t>
      </w:r>
      <w:r/>
    </w:p>
    <w:p>
      <w:r/>
      <w:r>
        <w:t>This forecast aligns with trends showing substantial investment in AI, particularly from regions like the Middle East, where funds are increasingly channelled into AI startups. The infusion of capital from such investments further underscores the robust growth and expansive potential of the AI sector.</w:t>
      </w:r>
      <w:r/>
    </w:p>
    <w:p>
      <w:r/>
      <w:r>
        <w:t>As the world witnesses the unfolding of these projections, firms and markets are likely to adapt to the shifting landscape, characterised by both opportunities and challenges intrinsic to the advancement of AI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