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HKMA sets interest rate for retail green bonds at 4.75%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Hong Kong Monetary Authority (HKMA), on behalf of the Hong Kong Special Administrative Region Government, has announced the interest rate for the second interest payment on retail green bonds due in 2026. These bonds, labelled with Issue Number 03GR2610R and Stock Code 4273, are part of the Government Sustainable Bond Programme, previously known as the Government Green Bond Programme.</w:t>
      </w:r>
      <w:r/>
    </w:p>
    <w:p>
      <w:pPr>
        <w:pStyle w:val="Heading3"/>
      </w:pPr>
      <w:r>
        <w:t>Key Details</w:t>
      </w:r>
      <w:r/>
      <w:r/>
    </w:p>
    <w:p>
      <w:pPr>
        <w:pStyle w:val="ListBullet"/>
        <w:spacing w:line="240" w:lineRule="auto"/>
        <w:ind w:left="720"/>
      </w:pPr>
      <w:r/>
      <w:r>
        <w:rPr>
          <w:b/>
        </w:rPr>
        <w:t>Interest Rate Determination</w:t>
      </w:r>
      <w:r>
        <w:t>: The interest rate for the second interest payment has been set at 4.75% per annum. This rate was determined on 25 September 2024, based on a comparison between the prevailing Floating Rate, recorded at +1.80%, and the Fixed Rate, which stood at +4.75%. As the fixed rate was higher, it was chosen as the applicable rate.</w:t>
      </w:r>
      <w:r/>
    </w:p>
    <w:p>
      <w:pPr>
        <w:pStyle w:val="ListBullet"/>
        <w:spacing w:line="240" w:lineRule="auto"/>
        <w:ind w:left="720"/>
      </w:pPr>
      <w:r/>
      <w:r>
        <w:rPr>
          <w:b/>
        </w:rPr>
        <w:t>Payment Schedule</w:t>
      </w:r>
      <w:r>
        <w:t>: According to the Issue Circular dated 18 September 2023, the second interest payment is scheduled for 10 October 2024.</w:t>
      </w:r>
      <w:r/>
      <w:r/>
    </w:p>
    <w:p>
      <w:pPr>
        <w:pStyle w:val="Heading3"/>
      </w:pPr>
      <w:r>
        <w:t>Context and Implications</w:t>
      </w:r>
      <w:r/>
    </w:p>
    <w:p>
      <w:r/>
      <w:r>
        <w:t xml:space="preserve">The retail green bonds are part of a broader initiative by the Hong Kong Government to further sustainable finance and green investments. The Government Sustainable Bond Programme aims to fund projects that support environmental sustainability, including those in renewable energy, energy efficiency, and pollution prevention. </w:t>
      </w:r>
      <w:r/>
    </w:p>
    <w:p>
      <w:r/>
      <w:r>
        <w:t>Securing a stable interest rate of 4.75% per annum is significant for investors, particularly in current market conditions where interest rates fluctuate. This fixed rate provides a competitive return, making these bonds an attractive investment option. The transparency and predictability of these returns are critical for maintaining market confidence and supporting the long-term growth of Hong Kong's green finance sector.</w:t>
      </w:r>
      <w:r/>
    </w:p>
    <w:p>
      <w:pPr>
        <w:pStyle w:val="Heading3"/>
      </w:pPr>
      <w:r>
        <w:t>Broader Context</w:t>
      </w:r>
      <w:r/>
    </w:p>
    <w:p>
      <w:r/>
      <w:r>
        <w:t>The announcement comes at a time when there is a global surge in interest for green bonds. The international investment community is increasingly focusing on sustainability-oriented financial products, driven by a greater awareness of environmental issues and the demand for sustainable investment options. This trend aligns with Hong Kong's strategic efforts to establish itself as a leading hub for green finance in Asia. Leveraging its robust financial infrastructure and regulatory framework, the region is well-positioned to attract both local and international investors.</w:t>
      </w:r>
      <w:r/>
    </w:p>
    <w:p>
      <w:r/>
      <w:r>
        <w:t>The HKMA's timely and transparent announcement about the bond interest rates underscores its role in fostering an environment of trust and reliability among investors. As green finance continues to grow, such initiatives are essential for reinforcing Hong Kong's position in the global financial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