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Lemonade Inc. sees stock decline despite strong Q2 2024 financial results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Lemonade Inc. Sees Stock Decline Despite Strong Q2 2024 Financial Results</w:t>
      </w:r>
      <w:r/>
    </w:p>
    <w:p>
      <w:r/>
      <w:r>
        <w:t>In a surprising market reaction, shares of Lemonade Inc. (NYSE: LMND) fell significantly after the company announced its second-quarter results for the 2024 fiscal year. Despite surpassing both revenue and earnings per share (EPS) expectations, the stock dropped from $23.4 to $17.5, indicating investor dissatisfaction or perhaps a broader market sentiment shift.</w:t>
      </w:r>
      <w:r/>
    </w:p>
    <w:p>
      <w:pPr>
        <w:pStyle w:val="Heading3"/>
      </w:pPr>
      <w:r>
        <w:t>Highlights from the Financial Report</w:t>
      </w:r>
      <w:r/>
    </w:p>
    <w:p>
      <w:r/>
      <w:r>
        <w:t>Lemonade Inc. demonstrated strong performance in Q2, outpacing forecasted financial metrics. The insurance technology company, known for its artificial intelligence-driven insurance solutions, continues to expand its market presence and customer base. The upbeat financial figures suggest operational efficiency and successful execution of its growth strategy.</w:t>
      </w:r>
      <w:r/>
    </w:p>
    <w:p>
      <w:pPr>
        <w:pStyle w:val="Heading3"/>
      </w:pPr>
      <w:r>
        <w:t>Market Reaction and Analysis</w:t>
      </w:r>
      <w:r/>
    </w:p>
    <w:p>
      <w:r/>
      <w:r>
        <w:t>However, the positive financial news was not enough to prevent a sharp decline in the company's stock price. Several factors could have contributed to this outcome. It's plausible that investors have concerns about future profitability or market stability, leading to a more cautious investment approach. Moreover, the volatile nature of the tech and insurance sectors may have played a role in swaying investor sentiment, regardless of the strong quarterly performance.</w:t>
      </w:r>
      <w:r/>
    </w:p>
    <w:p>
      <w:pPr>
        <w:pStyle w:val="Heading3"/>
      </w:pPr>
      <w:r>
        <w:t>Contextual Insights from a Tech-Focused Analyst</w:t>
      </w:r>
      <w:r/>
    </w:p>
    <w:p>
      <w:r/>
      <w:r>
        <w:t>An industry Research Analyst with substantial experience in IT and investment highlighted the potential reasons behind the market dynamics. The analyst, leveraging 25 years of experience and a moderate investment approach honed since the Global Financial Crisis (GFC) of 2008/2009, noted that market reactions can often defy immediate rational explanations. This perspective is rooted in the analyst's broad-ranging expertise spanning virtualisation, cloud technologies, generative AI, and semiconductors.</w:t>
      </w:r>
      <w:r/>
    </w:p>
    <w:p>
      <w:pPr>
        <w:pStyle w:val="Heading3"/>
      </w:pPr>
      <w:r>
        <w:t>Broader Considerations</w:t>
      </w:r>
      <w:r/>
    </w:p>
    <w:p>
      <w:r/>
      <w:r>
        <w:t>The analyst also regularly explores themes such as automated supply chains and the deflationary impact of software, providing a nuanced view of tech-based company valuations. While not holding any position in Lemonade Inc., the analyst’s insights convey a broader picture of how tech-heavy markets can be influenced by factors like market speculation, broader economic signals, or sector-specific challenges.</w:t>
      </w:r>
      <w:r/>
    </w:p>
    <w:p>
      <w:pPr>
        <w:pStyle w:val="Heading3"/>
      </w:pPr>
      <w:r>
        <w:t>Disclosures and Professional Standpoint</w:t>
      </w:r>
      <w:r/>
    </w:p>
    <w:p>
      <w:r/>
      <w:r>
        <w:t xml:space="preserve">It is pertinent to note that the analyst has no financial interest in Lemonade Inc. and is not receiving any direct compensation for the analysis provided. Furthermore, the analysis serves informational purposes, aligning with the ethical standards outlined by the research platform Seeking Alpha. </w:t>
      </w:r>
      <w:r/>
    </w:p>
    <w:p>
      <w:pPr>
        <w:pStyle w:val="Heading3"/>
      </w:pPr>
      <w:r>
        <w:t>Conclusion</w:t>
      </w:r>
      <w:r/>
    </w:p>
    <w:p>
      <w:r/>
      <w:r>
        <w:t>The significant drop in Lemonade Inc.'s stock price following a solid Q2 performance underscores the complexity of market reactions influenced by investor expectations and market conditions. As the tech and insurance industries continue to evolve, companies like Lemonade Inc. will remain under close scrutiny by investors and analysts alike, providing fertile ground for ongoing analysis and discussion.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