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Quin AI secures £1.5 million in seed funding to enhance data privacy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Quin AI: London-based Start-up Secures £1.5 Million in Seed Funding to Transform Data Privacy</w:t>
      </w:r>
      <w:r/>
    </w:p>
    <w:p>
      <w:r/>
      <w:r>
        <w:t>Quin AI, a London-based start-up, has successfully secured £1.5 million in seed funding to drive its innovative approach to data privacy and customer personalisation across new industries. The funding round was led by Blackfinch Ventures, with substantial contributions from SFC Capital, Logo Ventures, and Finberg.</w:t>
      </w:r>
      <w:r/>
    </w:p>
    <w:p>
      <w:r/>
      <w:r>
        <w:t>Founded in 2020 by sisters Gulsah and Gonca Gulser, Quin AI focuses on revolutionising customer engagement through its proprietary “generative behavioural AI platform.” This technology analyses live behavioural data, such as clicks and page views, without capturing personal information. The co-founders bring a combined three decades of experience in customer strategy and behavioural analytics to the venture.</w:t>
      </w:r>
      <w:r/>
    </w:p>
    <w:p>
      <w:r/>
      <w:r>
        <w:t>The platform has notably improved customer engagement for prominent firms like Marks &amp; Spencer, IKEA, and Akbank. For instance, Marks &amp; Spencer reported a 30 per cent increase in online conversion rates and a 15 per cent rise in repeat customers since implementing Quin AI’s technology. Akbank has also benefited by witnessing a significant improvement in credit card application conversion rates, particularly by identifying niche and under-performing audiences or channels.</w:t>
      </w:r>
      <w:r/>
    </w:p>
    <w:p>
      <w:r/>
      <w:r>
        <w:t>Quin AI’s chief executive, Gulsah Gulser, expressed enthusiasm about the investment, stating, “We’re excited to have the backing of such an esteemed group of investors who believe in the transformative potential of our technology. This funding will accelerate our growth, allowing us to further develop our platform and help businesses across multiple industries optimise their digital strategies.”</w:t>
      </w:r>
      <w:r/>
    </w:p>
    <w:p>
      <w:r/>
      <w:r>
        <w:t>With the new funding, Quin AI aims to extend its offerings into additional sectors, with a recent focus on the banking industry. The banking sector, grappling with the need to better understand and engage with its customers, is poised to benefit from Quin AI’s capacity to enhance personalisation without compromising data privacy.</w:t>
      </w:r>
      <w:r/>
    </w:p>
    <w:p>
      <w:r/>
      <w:r>
        <w:t>Reuben Wilcock, head of ventures at Blackfinch Ventures, remarked, “Quin AI’s technology is a game changer for businesses looking to gain a deeper understanding of their customers and deliver personalised experiences.”</w:t>
      </w:r>
      <w:r/>
    </w:p>
    <w:p>
      <w:r/>
      <w:r>
        <w:t>The investment marks a significant milestone for Quin AI, supporting its mission to change how companies engage with customers online while adhering to stringent data privacy standards. The company’s future ambitions include further development of its platform and expansion into varied industries, making it a key player in the evolving landscape of customer engagement and data privacy.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