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AI Act: A turning point for digital pathology solutions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AI Act: A Turning Point for Digital Pathology Solutions in Healthcare</w:t>
      </w:r>
      <w:r/>
    </w:p>
    <w:p>
      <w:r/>
      <w:r>
        <w:t>In a landmark move, the European Union's AI Act is set to bring transformative changes to the field of digital pathology, impacting the deployment and development of artificial intelligence (AI) and machine learning technologies in healthcare. This legislation outlines stringent requirements that AI-powered medical devices must meet to ensure they are safe, effective, and transparent.</w:t>
      </w:r>
      <w:r/>
    </w:p>
    <w:p>
      <w:pPr>
        <w:pStyle w:val="Heading4"/>
      </w:pPr>
      <w:r>
        <w:t>The AI Act and its Implications</w:t>
      </w:r>
      <w:r/>
    </w:p>
    <w:p>
      <w:r/>
      <w:r>
        <w:t>Digital pathology, which involves the digitisation of pathological materials and their analysis using computer-based technologies, stands to benefit significantly from AI integration. However, the adoption of AI in this field comes with several regulatory challenges. As per the AI Act, the classification of AI-driven devices hinges on their intended use, categorising them into different risk levels. Medical devices and in vitro diagnostic tools operating within the EU are automatically deemed high-risk under the Medical Device Regulation (MDR) and In Vitro Diagnostic Regulation (IVDR).</w:t>
      </w:r>
      <w:r/>
    </w:p>
    <w:p>
      <w:r/>
      <w:r>
        <w:t>This high-risk classification mandates third-party conformity assessments to verify adherence to the safety and performance standards decreed by the legislation. Such a high threshold underscores the EU’s commitment to ensuring that AI applications in healthcare are both reliable and safe. For developers and companies, this means they must provide comprehensive documentation detailing the development, training, and validation procedures of their AI algorithms.</w:t>
      </w:r>
      <w:r/>
    </w:p>
    <w:p>
      <w:pPr>
        <w:pStyle w:val="Heading4"/>
      </w:pPr>
      <w:r>
        <w:t>Transparency and Explainability: Core Requirements</w:t>
      </w:r>
      <w:r/>
    </w:p>
    <w:p>
      <w:r/>
      <w:r>
        <w:t>A critical aspect of the AI Act is its focus on transparency and explainability of AI systems. In healthcare, it is paramount for AI tools to be intelligible to clinicians, patients, and other stakeholders. The legislation aims to overcome the "black box" nature of many AI technologies, where outputs are often generated without a clear understanding of the underlying decision-making process.</w:t>
      </w:r>
      <w:r/>
    </w:p>
    <w:p>
      <w:r/>
      <w:r>
        <w:t>Developers are now encouraged to create AI systems that not only deliver high-performance outcomes but also offer clear insights into how decisions are made. This requirement is designed to build trust among healthcare professionals, enabling them to leverage AI in diagnostic contexts where accuracy and reliability are crucial. The AI Act enforces continuous monitoring and rigorous assessments to ensure that AI tools comply with these transparency standards.</w:t>
      </w:r>
      <w:r/>
    </w:p>
    <w:p>
      <w:pPr>
        <w:pStyle w:val="Heading4"/>
      </w:pPr>
      <w:r>
        <w:t>Upholding Patient Safety and Data Integrity</w:t>
      </w:r>
      <w:r/>
    </w:p>
    <w:p>
      <w:r/>
      <w:r>
        <w:t>The AI Act places a strong emphasis on patient safety and data integrity, two foundational pillars in the healthcare domain. AI systems handle vast amounts of sensitive patient data, demanding high levels of data protection and confidentiality. The legislation sets forth explicit guidelines for maintaining the safety and security of data used in AI applications, promoting a standardised and regulated framework that bolsters trust in these technologies.</w:t>
      </w:r>
      <w:r/>
    </w:p>
    <w:p>
      <w:pPr>
        <w:pStyle w:val="Heading4"/>
      </w:pPr>
      <w:r>
        <w:t>Ethical Use of AI: Addressing Bias and Discrimination</w:t>
      </w:r>
      <w:r/>
    </w:p>
    <w:p>
      <w:r/>
      <w:r>
        <w:t>A fundamental principle embedded in the AI Act is the upholding of the European Union’s core values, including the reduction of discrimination and inequalities. By enforcing transparency and mandating additional assessments, the Act seeks to ensure that AI algorithms are not trained on biased data sets. This proactive stance is aimed at preventing AI models from perpetuating or amplifying existing biases, thus fostering equitable treatment of patients across diverse demographic groups.</w:t>
      </w:r>
      <w:r/>
    </w:p>
    <w:p>
      <w:pPr>
        <w:pStyle w:val="Heading4"/>
      </w:pPr>
      <w:r>
        <w:t>Conclusion</w:t>
      </w:r>
      <w:r/>
    </w:p>
    <w:p>
      <w:r/>
      <w:r>
        <w:t>The AI Act represents a significant leap forward in the regulation of AI technologies within the healthcare sector. It establishes a comprehensive framework that mandates high standards for safety, transparency, and ethical considerations, ensuring that the deployment of AI in digital pathology and other healthcare applications aligns with both technical and moral requirements. As the act comes into effect, developers, healthcare providers, and patients can anticipate a future where AI contributes effectively and transparently to medical advancements, potentially revolutionising diagnostics and patient care in the European Union.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