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AI-crypto landscape sees new developments with Kamala Harris's pro-crypto vision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AI-Crypto Landscape Sees New Developments with Kamala Harris's Pro-Crypto Vision</w:t>
      </w:r>
      <w:r/>
    </w:p>
    <w:p>
      <w:r/>
      <w:r>
        <w:t>The competitive field of AI-driven cryptocurrencies is witnessing heightened interest and activity following US Vice President Kamala Harris's recent endorsement of integrating artificial intelligence (AI) with digital assets. Harris's forward-thinking approach is proving to be a potential catalyst for significant innovation and optimism within the crypto market.</w:t>
      </w:r>
      <w:r/>
    </w:p>
    <w:p>
      <w:r/>
      <w:r>
        <w:t>In recent speeches, Harris has emphasised the transformative potential of combining AI with cryptocurrencies, which has resonated strongly across the sector. Various AI-crypto projects, such as NEAR Protocol, Bittensor (TAO), and the burgeoning IntelMarkets (INTL), have responded positively to this development, experiencing a surge of excitement and investor interest.</w:t>
      </w:r>
      <w:r/>
    </w:p>
    <w:p>
      <w:r/>
      <w:r>
        <w:t>IntelMarkets (INTL) in particular, has emerged as a notable beneficiary of this bolstered enthusiasm. The platform, which seeks to merge the functionalities of AI with decentralised finance (DeFi), has gained considerable traction. Within a short span, IntelMarkets has impressively raised nearly $500,000 in its presale phase. This significant fundraising milestone highlights the market's appetite for innovative AI-infused cryptocurrency solutions and has positioned IntelMarkets as a standout player amid its peers.</w:t>
      </w:r>
      <w:r/>
    </w:p>
    <w:p>
      <w:r/>
      <w:r>
        <w:t>NEAR Protocol and Bittensor (TAO) also stand to gain from the increased attention. NEAR Protocol, known for its scalability and developer-friendly features, and Bittensor, recognised for its decentralised machine learning capabilities, are well-positioned to leverage the present momentum sparked by Harris’s advocacy.</w:t>
      </w:r>
      <w:r/>
    </w:p>
    <w:p>
      <w:r/>
      <w:r>
        <w:t>As the convergence of AI and digital currencies unfolds, stakeholders in the crypto space are closely monitoring these developments. The integration of AI into cryptocurrency not only promises to enhance transactional efficiency and security but also opens up new avenues for financial technology innovations.</w:t>
      </w:r>
      <w:r/>
    </w:p>
    <w:p>
      <w:r/>
      <w:r>
        <w:t>While it remains to be seen which AI-crypto project will ultimately seize the limelight, the sector's current trajectory, fuelled by high-profile endorsements and technological advancements, indicates a fertile ground for transformative growth.</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