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FTI Consulting strengthens leadership with key appointments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FTI Consulting Expands Senior Leadership with Strategic Hires</w:t>
      </w:r>
      <w:r/>
    </w:p>
    <w:p>
      <w:r/>
      <w:r>
        <w:t>FTI Consulting, headquartered in Washington, D.C., has significantly strengthened its management team by appointing two seasoned professionals, Brian Salsberg and Michael Driscoll, as senior managing directors. These strategic hires aim to enhance the consultancy’s offerings in M&amp;A and national security.</w:t>
      </w:r>
      <w:r/>
    </w:p>
    <w:p>
      <w:r/>
      <w:r>
        <w:rPr>
          <w:b/>
        </w:rPr>
        <w:t>Brian Salsberg: Leading M&amp;A Efforts</w:t>
      </w:r>
      <w:r/>
    </w:p>
    <w:p>
      <w:r/>
      <w:r>
        <w:t>Brian Salsberg is set to lead the global M&amp;A practice at FTI Consulting’s New York office. With more than 25 years of extensive experience in strategy and transactions, Salsberg marks a significant addition to the team. Prior to his new role, he served as the global M&amp;A leader in the strategy and transactions group at EY, where he worked for eight years. His career also includes roles as SVP and global chief strategy officer at Avon, and partner at McKinsey &amp; Company. Moreover, Salsberg began his career as a corporate transactions lawyer at Cravath, Swaine &amp; Moore LLP.</w:t>
      </w:r>
      <w:r/>
    </w:p>
    <w:p>
      <w:r/>
      <w:r>
        <w:t>In his position at FTI Consulting, Salsberg will collaborate with leaders from various teams, including diligence, merger integration, carveout, tax, human capital, and digital, to deliver comprehensive solutions for clients engaging in significant transactions. Scott Bingham, a co-leader of global transactions at FTI Consulting, emphasized Salsberg’s suitability for the role, citing his ability to guide clients through complex transaction challenges and provide candid advice.</w:t>
      </w:r>
      <w:r/>
    </w:p>
    <w:p>
      <w:r/>
      <w:r>
        <w:rPr>
          <w:b/>
        </w:rPr>
        <w:t>Michael Driscoll: Head of National Security Offering</w:t>
      </w:r>
      <w:r/>
    </w:p>
    <w:p>
      <w:r/>
      <w:r>
        <w:t>Joining alongside Salsberg is Michael Driscoll, who will lead FTI Consulting’s national security offering. Based also in the New York office, Driscoll's role will encompass advisory and investigative services in critical sectors such as financial services, healthcare, energy, and semiconductors. He transitions to FTI Consulting from a distinguished 26-year career with the Federal Bureau of Investigation (FBI), where he most recently served as assistant director-in-charge of the New York office.</w:t>
      </w:r>
      <w:r/>
    </w:p>
    <w:p>
      <w:r/>
      <w:r>
        <w:t>Driscoll brings with him vast expertise in cybersecurity, threat intelligence, criminal investigations, and national security. His background also includes a tenure as an attorney at Trief &amp; Olk. Anthony Ferrante, a senior managing director at FTI Consulting, highlighted the significance of Driscoll's expertise in addressing risks associated with global interconnectedness and technology reliance.</w:t>
      </w:r>
      <w:r/>
    </w:p>
    <w:p>
      <w:r/>
      <w:r>
        <w:rPr>
          <w:b/>
        </w:rPr>
        <w:t>Broader Legal Industry Developments</w:t>
      </w:r>
      <w:r/>
    </w:p>
    <w:p>
      <w:r/>
      <w:r>
        <w:t>In other significant legal industry news, several firms are making notable advancements. McGivney Kluger Clark &amp; Intoccia has integrated AI-driven applications across its offices to enhance workflow efficiency throughout the litigation process. This move underscores the firm’s commitment to leveraging technology to deliver better results while maintaining high standards of confidentiality and security.</w:t>
      </w:r>
      <w:r/>
    </w:p>
    <w:p>
      <w:r/>
      <w:r>
        <w:t>Additionally, Anapol Weiss has expanded by acquiring Walsh Law, complementing its earlier acquisition of Golomb Law in 2024. The addition of Alexandra Walsh and four partners significantly enhances Anapol Weiss’ presence and capabilities in products liability litigation.</w:t>
      </w:r>
      <w:r/>
    </w:p>
    <w:p>
      <w:r/>
      <w:r>
        <w:t>IBM is also set to acquire Accelalpha, a Washington-based Oracle services provider, which will become part of IBM Consulting. This acquisition marks a significant step in expanding IBM’s capabilities in Oracle Cloud solutions, coupled with its expertise in generative AI and hybrid cloud.</w:t>
      </w:r>
      <w:r/>
    </w:p>
    <w:p>
      <w:r/>
      <w:r>
        <w:t>Mayer Brown has appointed Evette Pastoriza Clift, formerly of Fried Frank, as its global chief information officer. Clift will lead the firm’s global IT operations, aligning with Mayer Brown’s strategic objective to enhance its technology capabilities for greater client value.</w:t>
      </w:r>
      <w:r/>
    </w:p>
    <w:p>
      <w:r/>
      <w:r>
        <w:rPr>
          <w:b/>
        </w:rPr>
        <w:t>Recognition and Awards in the Legal Field</w:t>
      </w:r>
      <w:r/>
    </w:p>
    <w:p>
      <w:r/>
      <w:r>
        <w:t>Varnum’s Ron DeWaard has been named in Lawdragon's 500 Leading Litigators in America for the second consecutive year. DeWaard is recognised for his exceptional work in civil litigation and white-collar investigations.</w:t>
      </w:r>
      <w:r/>
    </w:p>
    <w:p>
      <w:r/>
      <w:r>
        <w:t>Similarly, Charles Ellis of Ward and Smith has been inducted into the North Carolina Bar Association Legal Practice Hall of Fame, highlighting his exemplary service and high ethical standards over his extensive legal career. Additionally, Katten has five partners recognised in the 2024 Texas Super Lawyers list, and Moore &amp; Van Allen’s Wood Lay was named in The Lawdragon 500 Leading Corporate Employment Lawyers.</w:t>
      </w:r>
      <w:r/>
    </w:p>
    <w:p>
      <w:r/>
      <w:r>
        <w:rPr>
          <w:b/>
        </w:rPr>
        <w:t>Diversity, Equity, and Inclusion Initiatives</w:t>
      </w:r>
      <w:r/>
    </w:p>
    <w:p>
      <w:r/>
      <w:r>
        <w:t>The Metropolitan Black Bar Association (MBBA) in New York has announced its 2024-2025 board members, and Barnes &amp; Thornburg received the Diverse Attorney Pipeline Program’s Visionary Partnership Award for its efforts in increasing diversity in the legal profession. Womble Bond Dickinson’s sponsorship of the Human Rights Campaign's National Dinner also underscores its commitment to diversity, equity, and inclusion.</w:t>
      </w:r>
      <w:r/>
    </w:p>
    <w:p>
      <w:r/>
      <w:r>
        <w:t>Lastly, Michelina Carbone of Shumaker, Loop, and Kendrick has been recognised as a finalist for the CREW Tampa Bay Rising Star Award, underscoring her dedication and excellence in commercial real estate law.</w:t>
      </w:r>
      <w:r/>
    </w:p>
    <w:p>
      <w:r/>
      <w:r>
        <w:t>This comprehensive update highlights the latest strategic movements and recognitions in the legal and consulting sectors, showcasing the ongoing evolution and commitment to excellence and diversity within these industries.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