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Hong Kong authorities finalise proposals to enhance OTC derivatives reporting regime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Hong Kong Authorities Finalise Proposals to Enhance OTC Derivatives Reporting Regime</w:t>
      </w:r>
      <w:r/>
    </w:p>
    <w:p>
      <w:r/>
      <w:r>
        <w:rPr>
          <w:b/>
        </w:rPr>
        <w:t>Hong Kong</w:t>
      </w:r>
      <w:r>
        <w:t xml:space="preserve"> – The Hong Kong Monetary Authority (HKMA) and the Securities and Futures Commission (SFC) have successfully concluded their consultation process aimed at enhancing Hong Kong’s over-the-counter (OTC) derivatives reporting regime. These enhancements are slated for implementation in September 2025, a move that aligns the city-state with international financial reporting standards and aims to streamline the regulatory analysis of OTC derivatives transactions.</w:t>
      </w:r>
      <w:r/>
    </w:p>
    <w:p>
      <w:r/>
      <w:r>
        <w:rPr>
          <w:b/>
        </w:rPr>
        <w:t>Consultation Process and Feedback</w:t>
      </w:r>
      <w:r/>
    </w:p>
    <w:p>
      <w:r/>
      <w:r>
        <w:t>The consultation process, launched in March 2024, focused on introducing the mandatory use of Unique Transaction Identifiers (UTIs), Unique Product Identifiers (UPIs), and the reporting of Critical Data Elements (CDEs). The enhancements are in line with the commitment made by the Group of Twenty (G20) to reform OTC derivatives markets worldwide.</w:t>
      </w:r>
      <w:r/>
    </w:p>
    <w:p>
      <w:r/>
      <w:r>
        <w:t>Participants in the consultation generally supported the proposals. The consensus was that the adoption of these international standards would foster greater standardisation and harmonisation across various OTC derivatives reporting regimes globally. As a result of the feedback received, the HKMA and SFC have made adjustments to certain aspects of the proposals to ensure they are effectively implementable by market participants.</w:t>
      </w:r>
      <w:r/>
    </w:p>
    <w:p>
      <w:r/>
      <w:r>
        <w:rPr>
          <w:b/>
        </w:rPr>
        <w:t>Implementation Timeline</w:t>
      </w:r>
      <w:r/>
    </w:p>
    <w:p>
      <w:r/>
      <w:r>
        <w:t>The conclusions paper, published on 26 September 2024, provides a detailed list of the data elements that will become subject to mandatory reporting. Market participants will have until September 2025 to adapt their systems and processes to comply with the new requirements. This timeline is designed to afford ample preparation time, helping ensure a smooth transition.</w:t>
      </w:r>
      <w:r/>
    </w:p>
    <w:p>
      <w:r/>
      <w:r>
        <w:rPr>
          <w:b/>
        </w:rPr>
        <w:t>International Context and Standards</w:t>
      </w:r>
      <w:r/>
    </w:p>
    <w:p>
      <w:r/>
      <w:r>
        <w:t>The Unique Transaction Identifier (UTI) is a distinctive code assigned to each reported OTC derivatives transaction, following the Technical Guidance on Harmonisation issued by the Committee on Payments and Market Infrastructures (CPMI) and the International Organization of Securities Commissions (IOSCO) in February 2017. Similarly, the Unique Product Identifier (UPI) is used to identify specific OTC derivatives products, with its guidance issued in September 2017 by the same entities.</w:t>
      </w:r>
      <w:r/>
    </w:p>
    <w:p>
      <w:r/>
      <w:r>
        <w:t>Critical Data Elements (CDE) refer to a standardised set of data elements, formats, and permissible values related to OTC derivatives transactions. These standards were initially published by CPMI and IOSCO in April 2018 and were subsequently updated by the Regulatory Oversight Committee of the Global Legal Entity Identifier Foundation in September 2021 and 2023.</w:t>
      </w:r>
      <w:r/>
    </w:p>
    <w:p>
      <w:r/>
      <w:r>
        <w:rPr>
          <w:b/>
        </w:rPr>
        <w:t>Conclusion</w:t>
      </w:r>
      <w:r/>
    </w:p>
    <w:p>
      <w:r/>
      <w:r>
        <w:t>With the finalisation of these proposals, the HKMA and SFC have taken a significant step towards ensuring that Hong Kong’s OTC derivatives market aligns with global regulatory standards. Detailed information regarding the conclusions paper and the feedback from respondents is available on the official websites of the HKMA and the SFC. These enhancements aim to bring clarity, efficiency, and global compatibility to the reporting practices within Hong Kong’s financial markets.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