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Major executive departures signal strategic shifts at OpenAI</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pPr>
        <w:pStyle w:val="Heading3"/>
      </w:pPr>
      <w:r>
        <w:t>Major Executive Departures and Strategic Shifts at OpenAI</w:t>
      </w:r>
      <w:r/>
    </w:p>
    <w:p>
      <w:r/>
      <w:r>
        <w:rPr>
          <w:b/>
        </w:rPr>
        <w:t>San Francisco, CA</w:t>
      </w:r>
      <w:r>
        <w:t xml:space="preserve"> – OpenAI, a leading artificial intelligence research laboratory, is experiencing significant leadership changes amid plans to transition from a nonprofit to a for-profit entity. On Thursday, three top executives left the company, raising questions about OpenAI's future trajectory and its capacity for innovation in the competitive AI landscape.</w:t>
      </w:r>
      <w:r/>
    </w:p>
    <w:p>
      <w:r/>
      <w:r>
        <w:t>Among the recent departures are Mira Murati, Chief Technology Officer; Ilya Sutskever, co-founder and former chief scientist; John Schulman, co-founder; and Jan Leike, former top researcher. Murati's resignation on Wednesday marked another critical loss for the organisation, already reeling from a series of executive exits since CEO Sam Altman’s brief ousting last year. Co-founder and former president Greg Brockman is also on leave until the end of the year.</w:t>
      </w:r>
      <w:r/>
    </w:p>
    <w:p>
      <w:r/>
      <w:r>
        <w:t>Reports indicate that CEO Sam Altman is steering OpenAI towards becoming a for-profit public-benefit corporation. Currently, the company operates as a nonprofit with a board overseeing its for-profit subsidiary. This shift is expected to make OpenAI more appealing to investors, facilitating major funding rounds and future growth prospects. Indeed, tech giants such as Microsoft, Apple, and Nvidia have shown interest in contributing to a substantial funding round that could raise at least $5 billion, aiming for a valuation of $150 billion.</w:t>
      </w:r>
      <w:r/>
    </w:p>
    <w:p>
      <w:pPr>
        <w:pStyle w:val="Heading3"/>
      </w:pPr>
      <w:r>
        <w:t>Broader Moves in the Tech Sector</w:t>
      </w:r>
      <w:r/>
    </w:p>
    <w:p>
      <w:r/>
      <w:r>
        <w:rPr>
          <w:b/>
        </w:rPr>
        <w:t>Santa Clara, CA</w:t>
      </w:r>
      <w:r>
        <w:t xml:space="preserve"> – In other tech news, Super Micro Computer experienced a 12% drop in shares on Thursday following revelations that the U.S. Department of Justice has launched an investigation into the company. The probe, still in early stages, comes after Hindenburg Research alleged accounting manipulation in late August. While the claims have yet to be independently verified, the company's stock is feeling the pressure.</w:t>
      </w:r>
      <w:r/>
    </w:p>
    <w:p>
      <w:pPr>
        <w:pStyle w:val="Heading3"/>
      </w:pPr>
      <w:r>
        <w:t>Funding Boost for Distance Technologies</w:t>
      </w:r>
      <w:r/>
    </w:p>
    <w:p>
      <w:r/>
      <w:r>
        <w:rPr>
          <w:b/>
        </w:rPr>
        <w:t>Helsinki, Finland</w:t>
      </w:r>
      <w:r>
        <w:t xml:space="preserve"> – Distance Technologies, an innovative startup focusing on mixed-reality technology for car windshields and airplane cockpits, has secured €10 million ($11.1 million) in funding. The seed round was led by GV, Alphabet’s venture capital arm, with participation from FOV Ventures and Maki.vc. The investment is expected to accelerate the development and integration of cutting-edge augmented reality solutions in the transportation industry.</w:t>
      </w:r>
      <w:r/>
    </w:p>
    <w:p>
      <w:pPr>
        <w:pStyle w:val="Heading3"/>
      </w:pPr>
      <w:r>
        <w:t>Nvidia Acquires OctoAI</w:t>
      </w:r>
      <w:r/>
    </w:p>
    <w:p>
      <w:r/>
      <w:r>
        <w:rPr>
          <w:b/>
        </w:rPr>
        <w:t>Seattle, WA</w:t>
      </w:r>
      <w:r>
        <w:t xml:space="preserve"> – In a strategic move to bolster its position in the AI sector, Nvidia has acquired Seattle-based startup OctoAI, which specialises in tools designed to optimise the development and deployment of generative AI models. OctoAI announced it would cease commercial availability of its services by the end of October, as it fully integrates with Nvidia.</w:t>
      </w:r>
      <w:r/>
    </w:p>
    <w:p>
      <w:pPr>
        <w:pStyle w:val="Heading3"/>
      </w:pPr>
      <w:r>
        <w:t>Starfish Space Secures NASA Contract</w:t>
      </w:r>
      <w:r/>
    </w:p>
    <w:p>
      <w:r/>
      <w:r>
        <w:rPr>
          <w:b/>
        </w:rPr>
        <w:t>Tukwila, WA</w:t>
      </w:r>
      <w:r>
        <w:t xml:space="preserve"> – Starfish Space has won a three-year, $15 million contract from NASA for a mission targeted at inspecting defunct tech satellites in orbit. Scheduled to commence in 2027, the mission will employ Starfish’s Otter spacecraft to conduct close-up inspections, laying the groundwork for future endeavours in satellite repair or removal.</w:t>
      </w:r>
      <w:r/>
    </w:p>
    <w:p>
      <w:r/>
      <w:r>
        <w:t>These developments signal dynamic shifts within the technology sector, underscoring how companies aim to adapt through strategic leadership changes, funding rounds, acquisitions, and significant contracts. The implications of these moves will likely resonate throughout the industry, influencing innovation, investment, and competitive strategies in the coming years.</w:t>
      </w:r>
      <w:r/>
    </w:p>
    <w:p>
      <w:r/>
      <w:r>
        <w:t xml:space="preserve">Source: </w:t>
      </w:r>
      <w:hyperlink r:id="rId9">
        <w:r>
          <w:rPr>
            <w:color w:val="0000EE"/>
            <w:u w:val="single"/>
          </w:rPr>
          <w:t>Noah Wire Services</w:t>
        </w:r>
      </w:hyperlink>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