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 landscape of AI risks and indemnification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Navigating the Complex Landscape of AI Risks and Indemnification</w:t>
      </w:r>
      <w:r/>
    </w:p>
    <w:p>
      <w:r/>
      <w:r>
        <w:t>By [Author's Name]</w:t>
      </w:r>
      <w:r/>
    </w:p>
    <w:p>
      <w:r/>
      <w:r>
        <w:t>As artificial intelligence (AI) continues to permeate every facet of the business world, it brings with it a plethora of new risks that are both intricate and widespread. Businesses now find themselves grappling with potential liabilities that range from data privacy issues to intellectual property infringements. While the insurance industry is still in the process of defining the contours of coverage for these novel risks, indemnification agreements emerge as a significant tool for bridging the gaps in risk management.</w:t>
      </w:r>
      <w:r/>
    </w:p>
    <w:p>
      <w:pPr>
        <w:pStyle w:val="Heading4"/>
      </w:pPr>
      <w:r>
        <w:t>Emergence of AI-Related Risks</w:t>
      </w:r>
      <w:r/>
    </w:p>
    <w:p>
      <w:r/>
      <w:r>
        <w:t>AI-related risks are no longer theoretical—they are now manifesting tangibly within the business environment. Companies integrating AI into their operations are facing an expanding array of liabilities, including cybersecurity breaches, algorithmic biases, and employee sabotage. The diverse ways in which businesses apply AI ensure that these risks are unique to each organisation, making standardised solutions inadequate.</w:t>
      </w:r>
      <w:r/>
    </w:p>
    <w:p>
      <w:r/>
      <w:r>
        <w:t>A recent lawsuit underscores the reality of these emerging challenges. Filed in the U.S. District Court for the Northern District of California, the case involves three authors who allege that AI developer Anthropic infringed on their copyrights by using their works to train its models. This lawsuit highlights the increasing legal scrutiny and potential financial risks companies face when implementing AI technologies.</w:t>
      </w:r>
      <w:r/>
    </w:p>
    <w:p>
      <w:pPr>
        <w:pStyle w:val="Heading4"/>
      </w:pPr>
      <w:r>
        <w:t>Insurance and Indemnification: A Dual Strategy</w:t>
      </w:r>
      <w:r/>
    </w:p>
    <w:p>
      <w:r/>
      <w:r>
        <w:t>The present insurance landscape, which includes policies such as errors &amp; omissions (E&amp;O), cybersecurity, commercial general liability (CGL), and commercial property, offers some degree of protection against AI-related risks. However, these traditional policies do not encompass the full spectrum of potential AI-induced liabilities. Although some insurers have begun to offer AI-specific insurance products, the market has yet to provide comprehensive solutions that adequately address all possible risks.</w:t>
      </w:r>
      <w:r/>
    </w:p>
    <w:p>
      <w:r/>
      <w:r>
        <w:t>This is where indemnification agreements can play a crucial role. Acting as temporary stopgaps while the insurance industry evolves, these agreements can help delineate responsibilities and reduce dispute likelihood when incidents occur. Tech giants such as Microsoft, OpenAI, Google, Adobe, and Getty Images have already adopted indemnification provisions in certain AI-related contracts.</w:t>
      </w:r>
      <w:r/>
    </w:p>
    <w:p>
      <w:pPr>
        <w:pStyle w:val="Heading4"/>
      </w:pPr>
      <w:r>
        <w:t>Strategic Advantages of Indemnification Agreements</w:t>
      </w:r>
      <w:r/>
    </w:p>
    <w:p>
      <w:r/>
      <w:r>
        <w:t>Indemnification agreements offer a high degree of customisation, allowing businesses to address specific risks that their existing insurance plans may not cover. These agreements not only fill coverage gaps but also offer intrinsic benefits. By clearly defining obligations, they can minimise legal disputes and promote responsible behaviour, as parties who are financially accountable are likely to act more prudently to avoid triggering indemnification clauses.</w:t>
      </w:r>
      <w:r/>
    </w:p>
    <w:p>
      <w:r/>
      <w:r>
        <w:t>Moreover, indemnification agreements can foster stronger business relationships. When parties mutually agree to indemnify against certain risks, it signifies a shared understanding and commitment to managing these risks collaboratively. This shared approach can enhance trust and cooperation between business entities.</w:t>
      </w:r>
      <w:r/>
    </w:p>
    <w:p>
      <w:pPr>
        <w:pStyle w:val="Heading4"/>
      </w:pPr>
      <w:r>
        <w:t>Conclusion</w:t>
      </w:r>
      <w:r/>
    </w:p>
    <w:p>
      <w:r/>
      <w:r>
        <w:t>As AI continues to reshape the economic landscape, businesses must evolve their risk management strategies to address the unique challenges it presents. While insurance remains a cornerstone of these strategies, indemnification agreements offer an additional layer of security. By integrating these agreements into their risk management plans, businesses can better guard against the diverse and complex liabilities associated with AI innovation.</w:t>
      </w:r>
      <w:r/>
    </w:p>
    <w:p>
      <w:pPr>
        <w:pBdr>
          <w:bottom w:val="single" w:sz="6" w:space="1" w:color="auto"/>
        </w:pBdr>
      </w:pPr>
      <w:r/>
    </w:p>
    <w:p>
      <w:r/>
      <w:r>
        <w:t>Sponsored Content</w:t>
      </w:r>
      <w:r/>
    </w:p>
    <w:p>
      <w:r/>
      <w:r>
        <w:t>In the realm of mergers and acquisitions, indemnification provisions in purchase agreements are critically important. Buyers typically expect sellers to bear responsibility for certain liabilities related to the period when the seller owned the business. Attorney Paul Pincus from Ortoli Rosenstadt LLP elaborates on the intricacies of seller liabilities, limitations, and funding potential indemnity claims, highlighting the extensive negotiation these provisions entail and their significance in deal-making.</w:t>
      </w:r>
      <w:r/>
    </w:p>
    <w:p>
      <w:pPr>
        <w:pBdr>
          <w:bottom w:val="single" w:sz="6" w:space="1" w:color="auto"/>
        </w:pBdr>
      </w:pPr>
      <w:r/>
    </w:p>
    <w:p>
      <w:r/>
      <w:r>
        <w:t>The landscape of AI-related risks is continuously evolving, but through a combination of forward-thinking insurance strategies and well-constructed indemnification agreements, businesses can better navigate this dynamic environment and mitigate associated risks effectively.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