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Roundtable discusses AI safety strategies amidst regulatory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Roundtable Discusses AI Safety Strategies Amidst Regulatory Challenges</w:t>
      </w:r>
      <w:r/>
    </w:p>
    <w:p>
      <w:r/>
      <w:r>
        <w:t>In a pivotal conversation held in September 2024 by UKTN, key players in the AI sector gathered to deliberate on AI safety and its regulation. The roundtable, sponsored in collaboration with Shoosmiths and KPMG, was chaired by Oscar Hornstein, a senior reporter for UKTN. The event brought together notable figures, including George Margerson of the AI Safety Institute, Sue Daley of techUK, Laura Gonzalez of Synthesia, Robin AI’s James Clough, Mark Taylor of Automated Analytics, Alex Kirkhope from Shoosmiths, and Leanne Allen from KPMG.</w:t>
      </w:r>
      <w:r/>
    </w:p>
    <w:p>
      <w:pPr>
        <w:pStyle w:val="Heading3"/>
      </w:pPr>
      <w:r>
        <w:t>Defining AI Risks</w:t>
      </w:r>
      <w:r/>
    </w:p>
    <w:p>
      <w:r/>
      <w:r>
        <w:t>The primary focus of the discussion was to delineate and address AI-related risks. Participants reached a consensus that AI risks are multi-faceted and cannot be encapsulated by a single definition. They identified two main categories of risk: long-term existential threats and immediate consequences, such as job displacement and copyright issues.</w:t>
      </w:r>
      <w:r/>
    </w:p>
    <w:p>
      <w:r/>
      <w:r>
        <w:t>While the existential threat of AI was acknowledged—specifically the fear that advanced AI could potentially cause catastrophic societal harm—the prevailing view was that such scenarios are improbable with current AI technologies. Nonetheless, it was noted that safeguards created by AI developers are currently too easy to circumvent.</w:t>
      </w:r>
      <w:r/>
    </w:p>
    <w:p>
      <w:r/>
      <w:r>
        <w:t>As a result, it was suggested that government guidelines and rules will be crucial, but a significant responsibility will also lie with developers to articulate their risk management strategies. Until comprehensive AI legislation is passed, companies will need to rely on internal ethics boards to navigate potential pitfalls.</w:t>
      </w:r>
      <w:r/>
    </w:p>
    <w:p>
      <w:pPr>
        <w:pStyle w:val="Heading3"/>
      </w:pPr>
      <w:r>
        <w:t>Sector-Specific Regulation Debates</w:t>
      </w:r>
      <w:r/>
    </w:p>
    <w:p>
      <w:r/>
      <w:r>
        <w:t>The roundtable also explored the viability of a sectoral approach to AI regulation, an idea initially put forward by the former Conservative government and largely upheld by the current administration. This approach recognises the differing needs of various sectors. However, some participants raised concerns about the varying developmental speeds of these sectors. Consequently, there were calls for the immediate establishment of a broad regulatory framework to set initial standards across all industries.</w:t>
      </w:r>
      <w:r/>
    </w:p>
    <w:p>
      <w:r/>
      <w:r>
        <w:t>Additionally, the scalability of such an approach was questioned, considering that many UK regulators, from Ofcom to the Gambling Commission, may face significant challenges in upskilling, recruitment, and funding. Despite these challenges, past precedents in areas like cybersecurity indicated that cross-regulatory expertise sharing could be an effective strategy.</w:t>
      </w:r>
      <w:r/>
    </w:p>
    <w:p>
      <w:pPr>
        <w:pStyle w:val="Heading3"/>
      </w:pPr>
      <w:r>
        <w:t>Implications of the EU AI Act</w:t>
      </w:r>
      <w:r/>
    </w:p>
    <w:p>
      <w:r/>
      <w:r>
        <w:t>With the UK yet to pass its own AI legislation, the discussion turned to the potential influence of the European Union’s AI Act on British AI companies. Opinions were divided on the effectiveness of the EU’s regulations. Some suggested that if an AI technology failed to meet EU standards but was otherwise lawful, companies might opt not to release such products in the EU market, potentially altering consumer access and political landscapes.</w:t>
      </w:r>
      <w:r/>
    </w:p>
    <w:p>
      <w:r/>
      <w:r>
        <w:t>Concerns about the enforceability of the EU AI Act were also raised, drawing comparisons to GDPR, which many firms have not fully complied with without facing significant repercussions. Despite the EU’s advanced legislative progress, many participants believed that the UK still had a chance to take a leading role in the global AI conversation.</w:t>
      </w:r>
      <w:r/>
    </w:p>
    <w:p>
      <w:pPr>
        <w:pStyle w:val="Heading3"/>
      </w:pPr>
      <w:r>
        <w:t>Conclusion</w:t>
      </w:r>
      <w:r/>
    </w:p>
    <w:p>
      <w:r/>
      <w:r>
        <w:t>The roundtable highlighted the complexities and diverse viewpoints surrounding AI safety and regulation. The consensus underscored the need for both governmental oversight and proactive measures by AI developers. While sector-specific approaches and potential EU regulations were discussed, the overarching message was clear: effective AI regulation will require a balanced approach that can adapt to rapid technological advancements.</w:t>
      </w:r>
      <w:r/>
    </w:p>
    <w:p>
      <w:r/>
      <w:r>
        <w:t>As AI continues to evolve, the discussions and insights from this roundtable will likely influence ongoing and future regulatory frameworks, aiming to ensure both innovation and safety in the AI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