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Time Magazine embarks on strategic AI collaborations amid industry hesitance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Time Magazine Embarks on Strategic AI Collaborations Amid Industry Hesitance</w:t>
      </w:r>
      <w:r/>
    </w:p>
    <w:p>
      <w:r/>
      <w:r>
        <w:rPr>
          <w:b/>
        </w:rPr>
        <w:t>Key Biscayne, FL - 19th September 2024</w:t>
      </w:r>
      <w:r>
        <w:t xml:space="preserve"> </w:t>
      </w:r>
      <w:r/>
    </w:p>
    <w:p>
      <w:r/>
      <w:r>
        <w:t>Time Magazine, under the strategic leadership of Chief Operating Officer Mark Howard, is carving out a distinctive path in the rapidly evolving landscape of artificial intelligence (AI) technology. Since the dawn of 2024, the venerated publisher has successfully negotiated alliances with six AI companies, among them OpenAI, Perplexity, and the budding ProRata.ai. Mark Howard revealed these developments during the Digiday Publishing Summit in Key Biscayne, Florida.</w:t>
      </w:r>
      <w:r/>
    </w:p>
    <w:p>
      <w:r/>
      <w:r>
        <w:t xml:space="preserve">Unlike numerous media counterparts who adopt a cautious approach or resort to litigation, Time Magazine is embracing an aggressive strategy in engaging with AI firms. Howard underscored this proactive stance at the summit, addressing an audience primed for insights into Time's unique approach to AI collaborations. </w:t>
      </w:r>
      <w:r/>
    </w:p>
    <w:p>
      <w:r/>
      <w:r>
        <w:t>“A critical aspect of our negotiation strategy hinges on the ability to partner with these companies and explore mutual opportunities rather than perceiving them as mere existential threats to traditional publishing,” Howard elucidated. He believes constructive cooperation with AI firms can yield significant advantages, even as many publishers remain embroiled in legal tussles.</w:t>
      </w:r>
      <w:r/>
    </w:p>
    <w:p>
      <w:r/>
      <w:r>
        <w:t>Howard analogised the negotiation process to purchasing a car, emphasizing the benefits of concluding deals early. “In negotiations, timing is crucial. By engaging with AI companies at nascent stages, we secure more favorable terms before they stabilize their business models and attract additional publishers.”</w:t>
      </w:r>
      <w:r/>
    </w:p>
    <w:p>
      <w:r/>
      <w:r>
        <w:t>An illustrative case is ProRata.ai, a company committed to pioneering a curated large language model enriched predominantly by premium publishers. ProRata.ai’s strategy includes accurate content attribution and a revenue-sharing model derived from AI chatbot subscriptions. Despite uncertainties around its eventual revenue mechanics, Time Magazine remains optimistic about the potential outcomes of early engagement with ProRata.ai.</w:t>
      </w:r>
      <w:r/>
    </w:p>
    <w:p>
      <w:r/>
      <w:r>
        <w:t>"We opted to take a calculated leap of faith," Howard commented. "Our early involvement allows us to shape how our brand is integrated and cited in this emerging platform."</w:t>
      </w:r>
      <w:r/>
    </w:p>
    <w:p>
      <w:r/>
      <w:r>
        <w:t>In preparation for these negotiations, Time’s Chief Technology Officer Bharat Krish and Chief Information Officer Sharon Millz have meticulously analysed AI bot activity on the publisher's platforms. Partnering with TollBit, a firm specialising in monitoring AI bot traffic, Time aims to quantify content scraping and leverage this data in discussions with AI entities. Howard envisions a future where publishers might charge incremental fees for content scraping and efficiently manage content licensing at scale.</w:t>
      </w:r>
      <w:r/>
    </w:p>
    <w:p>
      <w:r/>
      <w:r>
        <w:t xml:space="preserve">However, Howard admits the challenge of balanced negotiations amidst an expansive AI bot presence on the internet. He recommends prioritising collaborations with significant industry players ready to engage construcively with publishers. </w:t>
      </w:r>
      <w:r/>
    </w:p>
    <w:p>
      <w:r/>
      <w:r>
        <w:t>Within the negotiation framework, Howard emphasizes the value of assured attribution and web traffic linkage, although these parameters are yet to be formally stipulated in contracts. Despite earlier issues with AI-generated content accuracy, Howard notes that AI companies now appreciate the credibility conferred by sourcing reliable, premium journalism.</w:t>
      </w:r>
      <w:r/>
    </w:p>
    <w:p>
      <w:r/>
      <w:r>
        <w:t>Touching on the monetisation aspect, Howard dispels the idea of a universal per-word pricing for content, noting the vast disparities among publishers based on content quality and historical archives. He advises that publishers enter negotiations with a firm valuation of their content, albeit without divulging specific numbers.</w:t>
      </w:r>
      <w:r/>
    </w:p>
    <w:p>
      <w:r/>
      <w:r>
        <w:t>The subject of equal treatment clauses or Most Favoured Nation (MFN) clauses in contracts remains delicate. According to Howard, AI companies typically resist such conditions. Nevertheless, Howard stands firm against undervaluing publisher content in these negotiations.</w:t>
      </w:r>
      <w:r/>
    </w:p>
    <w:p>
      <w:r/>
      <w:r>
        <w:t>“Our industry has consistently navigated various complex deals, often facing unpredictable outcomes. However, the AI frontier presents us with significant, well-funded opportunities that we must adeptly seize,” concludes Howard.</w:t>
      </w:r>
      <w:r/>
    </w:p>
    <w:p>
      <w:r/>
      <w:r>
        <w:t>As Time Magazine continues its innovative foray into AI collaboration, the publishing world watches closely, poised to decipher the benefits and challenges inherent in this bold, forward-thinking strategy.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