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tokens set for remarkable growth as SUI faces market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Tokens Set for Remarkable Growth as SUI Faces Market Challenges</w:t>
      </w:r>
      <w:r/>
    </w:p>
    <w:p>
      <w:r/>
      <w:r>
        <w:rPr>
          <w:b/>
        </w:rPr>
        <w:t>In the constantly evolving landscape of cryptocurrency, AI-driven tokens such as Bittensor (TAO) and RCO Finance (RCOF) are capturing investor interest due to their advanced technological applications. Meanwhile, the traditional blockchain project SUI is encountering difficulties in keeping pace with these innovations.</w:t>
      </w:r>
      <w:r/>
    </w:p>
    <w:p>
      <w:r/>
      <w:r>
        <w:rPr>
          <w:b/>
        </w:rPr>
        <w:t>Emerging AI Tokens</w:t>
      </w:r>
      <w:r/>
    </w:p>
    <w:p>
      <w:r/>
      <w:r>
        <w:t>Bittensor and RCO Finance are leveraging artificial intelligence to revolutionise trading and investment management. These AI-based cryptocurrencies are providing users with sophisticated tools that automate portfolio management, enhance trading strategies, and identify lucrative market opportunities in real-time. Owing to these capabilities, both TAO and RCOF are witnessing substantial growth prospects.</w:t>
      </w:r>
      <w:r/>
    </w:p>
    <w:p>
      <w:r/>
      <w:r>
        <w:t>Bittensor (TAO), in particular, has seen a significant rise in popularity. The token utilises advanced AI analytics to offer automated trading strategies and position adjustments, promising substantial advantages for traders and investors. Experts are optimistic about TAO’s potential, predicting a 1,000x increase fueled by its recent price ascension to approximately $536.49, with forecasts aiming at $1,817.81 by 26 October 2021, as reported by Coinmarketcap.</w:t>
      </w:r>
      <w:r/>
    </w:p>
    <w:p>
      <w:r/>
      <w:r>
        <w:t>RCO Finance (RCOF), on the other hand, stands out for providing unique AI-powered features. The platform monitors over 120,000 assets, including cryptocurrencies, stocks, and tokenised real estate, to deliver customised investment strategies. Unlike traditional investment platforms, RCO Finance empowers users to retain full control over their portfolios, making it a more agile and transparent option for investors. The ongoing presale phases of RCOF tokens are also contributing to the high anticipation surrounding this cryptocurrency. RCO Finance aims for a listing price around $0.6, promising early investors potential returns of up to 5,000%.</w:t>
      </w:r>
      <w:r/>
    </w:p>
    <w:p>
      <w:r/>
      <w:r>
        <w:rPr>
          <w:b/>
        </w:rPr>
        <w:t>Struggles of SUI</w:t>
      </w:r>
      <w:r/>
    </w:p>
    <w:p>
      <w:r/>
      <w:r>
        <w:t>While TAO and RCOF gain momentum, SUI is lagging behind in the current market environment. Despite its strong blockchain fundamentals, SUI lacks the AI-driven innovation that is attracting investors to its competitors. As a consequence, its market performance has been lacklustre. The latest price of SUI stands at $1.72, with concerns that it might retest lower support levels around $1.30 if market bears prevail.</w:t>
      </w:r>
      <w:r/>
    </w:p>
    <w:p>
      <w:r/>
      <w:r>
        <w:rPr>
          <w:b/>
        </w:rPr>
        <w:t>Market Impact and Future Projections</w:t>
      </w:r>
      <w:r/>
    </w:p>
    <w:p>
      <w:r/>
      <w:r>
        <w:t>The rise of AI-based cryptocurrencies exemplifies a significant shift towards technologically advanced financial solutions within the cryptocurrency market. These tokens not only promise elevated returns but also signify a broader move towards integrating artificial intelligence into blockchain ecosystems. Investors and market participants are closely monitoring the trajectory of these AI tokens, whose successful implementation could herald a new era in digital finance.</w:t>
      </w:r>
      <w:r/>
    </w:p>
    <w:p>
      <w:r/>
      <w:r>
        <w:t>As both Bittensor and RCOF continue to fulfil their ambitious roadmaps and gain investor confidence, the anticipation of their future performance remains high. Conversely, the market will be watching to see if SUI can adapt and incorporate more advanced technologies to recapture its share of investor interest.</w:t>
      </w:r>
      <w:r/>
    </w:p>
    <w:p>
      <w:r/>
      <w:r>
        <w:t>In summary, the growth potential of AI-driven tokens like TAO and RCOF signifies a noteworthy evolution in the cryptocurrency space, placing emphasis on the increasing importance of integrating artificial intelligence within financial frameworks. As these AI tokens strive for their projected market success, traditional blockchain projects like SUI are challenged to innovate in order to maintain their market positioning.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