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decides against investment in OpenAI fundraising round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Decides Against Investment in OpenAI Fundraising Round</w:t>
      </w:r>
      <w:r/>
    </w:p>
    <w:p>
      <w:r/>
      <w:r>
        <w:t>In a surprising turn of events, Apple has opted not to invest in the upcoming funding round for OpenAI, the creator of the generative artificial intelligence chatbot ChatGPT. This decision comes despite previous reports suggesting Apple's potential participation in the fundraising, which seeks to raise up to $6.5 billion for OpenAI.</w:t>
      </w:r>
      <w:r/>
    </w:p>
    <w:p>
      <w:r/>
      <w:r>
        <w:t>OpenAI has played an integral role as Apple’s key partner under the Apple Intelligence banner, which markets the tech giant's AI tools. These capabilities include AI-powered writing tools and an enhanced version of Siri, both of which rely significantly on ChatGPT. The specific reasons behind Apple’s last-minute decision to withdraw from the funding round remain unclear. However, this move deviates from Apple's usual approach, as the company is not typically known for investing in startups. Historically, Apple has focused its investment efforts on manufacturing partners rather than newer companies.</w:t>
      </w:r>
      <w:r/>
    </w:p>
    <w:p>
      <w:r/>
      <w:r>
        <w:t xml:space="preserve">OpenAI, originally established as a non-profit entity, has transitioned into a for-profit company, a change that the current fundraising round reflects. Despite this shift, and the significance of integrating ChatGPT into Apple’s AI offerings, Apple has chosen not to partake in the financial support at this stage. </w:t>
      </w:r>
      <w:r/>
    </w:p>
    <w:p>
      <w:r/>
      <w:r>
        <w:t>The funding round is expected to close next week, led by the venture-capital firm Thrive Capital. Tech giants Microsoft and Nvidia are also anticipated to participate, showcasing the high level of interest and confidence in OpenAI's continued innovation and market leadership.</w:t>
      </w:r>
      <w:r/>
    </w:p>
    <w:p>
      <w:r/>
      <w:r>
        <w:t>Apple’s decision to forgo the investment might raise questions about the state of its relationship with OpenAI. Nevertheless, there are no indications of a rift, and the partnership appears to remain intact. This decision coincides with the recent launch of the iPhone 16, which has had a somewhat lukewarm reception. Marketing for the new iPhone heavily emphasised Apple Intelligence, although its AI features are not scheduled to be available until the following month.</w:t>
      </w:r>
      <w:r/>
    </w:p>
    <w:p>
      <w:r/>
      <w:r>
        <w:t xml:space="preserve">The integration of AI within Apple's products is deemed a significant next step for the company, as it strives to catch up with competitors in the rapidly evolving AI space. Apple has previously held discussions with Google about incorporating AI into its iOS platforms, showcasing its commitment to enhancing its AI capabilities. </w:t>
      </w:r>
      <w:r/>
    </w:p>
    <w:p>
      <w:r/>
      <w:r>
        <w:t>Whether this move will impact Apple’s long-term AI strategy and its ability to provide cutting-edge AI functionalities remains to be seen. However, it continues to highlight the strategic plays and decisions tech companies must navigate in an increasingly competitive and innovation-driven industry.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