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stock reaches historic high amidst generative AI announcement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Apple's Stock Reaches Historic High Amidst Generative AI Announcement</w:t>
      </w:r>
      <w:r/>
    </w:p>
    <w:p>
      <w:r/>
      <w:r>
        <w:t>Apple Inc. (NASDAQ: AAPL) has experienced a significant surge in its stock value, hitting all-time high levels over the summer, attributed primarily to the company's entrance into the generative AI sector with the forthcoming introduction of Apple Intelligence.</w:t>
      </w:r>
      <w:r/>
    </w:p>
    <w:p>
      <w:r/>
      <w:r>
        <w:t>This development has sparked considerable excitement among investors and analysts, marking a strategic expansion for Apple into a rapidly evolving domain. The announcement of Apple Intelligence positions the tech giant to compete in the generative AI market, a space that has seen increasing interest due to its potential to revolutionise numerous industries through advanced computational creativity and machine learning capabilities.</w:t>
      </w:r>
      <w:r/>
    </w:p>
    <w:p>
      <w:r/>
      <w:r>
        <w:t>The rally in Apple’s stock signifies strong investor confidence in the company’s ability to innovate and leverage its existing ecosystem to integrate AI technology effectively. By venturing into generative AI, Apple aims to enhance its product offerings and services, potentially leading to new revenue streams and sustained growth in a highly competitive market.</w:t>
      </w:r>
      <w:r/>
    </w:p>
    <w:p>
      <w:r/>
      <w:r>
        <w:t>Conversely, the Bears of Wall Street, a community comprised of asset managers and traders known for their cautious and often critical assessment of companies, maintain a more sceptical outlook. This group provides analysis focusing on overvalued enterprises, declining business models, and poor growth forecasts, advising their followers on potential depreciation opportunities. Despite the recent enthusiasm surrounding Apple's foray into AI, the Bears of Wall Street continue to emphasise pragmatic valuation, underscoring the importance of carefully evaluating the long-term implications of such business moves.</w:t>
      </w:r>
      <w:r/>
    </w:p>
    <w:p>
      <w:r/>
      <w:r>
        <w:t>Analysts involved in these discussions have openly declared that they do not hold any positions in Apple’s stock, options, or similar derivatives, and have no intentions of initiating such positions in the near future. Their analyses are founded on individual perspectives and are disseminated independent of external compensations, except for affiliations like Seeking Alpha.</w:t>
      </w:r>
      <w:r/>
    </w:p>
    <w:p>
      <w:r/>
      <w:r>
        <w:t>Seeking Alpha has stipulated that the performance of previous investments cannot be used as predictors for future outcomes. It is also clarified that the views and opinions presented by the analysts do not necessarily reflect those of Seeking Alpha itself. The platform does not offer personalised investment advice or function as a securities dealer, broker, or financial adviser, and their contributors consist of both professional and amateur investors who may lack formal certifications.</w:t>
      </w:r>
      <w:r/>
    </w:p>
    <w:p>
      <w:r/>
      <w:r>
        <w:t>As Apple continues to pioneer in the technological sector, the forthcoming launch of Apple Intelligence will be closely monitored by both optimistic shareholders and sceptical analysts, each bringing a unique perspective to the unfolding narrative of one of the world's most influential companies. Readers are invited to consider all angles and make informed decisions based on the array of insights available.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