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EyeCon 2024: A landmark collaboration between optometry and ophthalmology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EyeCon 2024: A Landmark Collaboration between Optometry and Ophthalmology</w:t>
      </w:r>
      <w:r/>
    </w:p>
    <w:p>
      <w:r/>
      <w:r>
        <w:t>EyeCon 2024, an eagerly anticipated event in the field of eye care, commenced with a strong emphasis on collaboration between optometry and ophthalmology on its opening day. This significant gathering is being guided by esteemed cochairs Kelly K. Nichols, OD, MPH, PhD, FAAO, and A. Paul Chous, OD, MA, FAAO, whose leadership underscored the fundamental objective of fostering integrated patient management practices.</w:t>
      </w:r>
      <w:r/>
    </w:p>
    <w:p>
      <w:r/>
      <w:r>
        <w:t>Day 1 of the conference, marked by robust discussions and expert insights, focused on several pertinent issues within eye care. Topics ranged from the identification of critical warning signs in patient care to specific diseases such as thyroid eye disease, and the latest advancements in refractive technologies. The overarching theme reiterated by Nichols and Chous was the profound benefit of combining optometric and ophthalmologic knowledge to improve patient outcomes. Integrating perspectives from both specialities is increasingly recognised as instrumental in delivering comprehensive and effective eye care.</w:t>
      </w:r>
      <w:r/>
    </w:p>
    <w:p>
      <w:r/>
      <w:r>
        <w:t>One of the significant highlights of the day came from the session led by ophthalmology cochair Peter J. McDonnell, MD, who emphasised the importance of recognising herpes simplex virus as a potential cause of unilateral red eye in hospitalised patients. This insight is particularly crucial for optometrists, who are often on the front lines of diagnosing and managing ocular conditions. McDonnell's advice underscores the need for vigilance and thorough examination to ensure correct and timely diagnosis, potentially preventing serious complications arising from misdiagnosis.</w:t>
      </w:r>
      <w:r/>
    </w:p>
    <w:p>
      <w:r/>
      <w:r>
        <w:t>The inaugural day set a promising tone for the remainder of the conference, with attendees looking forward to more in-depth sessions. Particularly, the upcoming discussions on dry eye disease and the multidisciplinary approaches to managing diabetes are expected to provide valuable knowledge and practical strategies. Such sessions are anticipated to enrich the understanding of complex conditions that often require collaborative care models.</w:t>
      </w:r>
      <w:r/>
    </w:p>
    <w:p>
      <w:r/>
      <w:r>
        <w:t>The convergence of optometry and ophthalmology professionals at EyeCon 2024 signifies a progressive step towards an integrated future in eye care, aiming to enhance patient management and treatment outcomes through shared expertise and cooperative practice.</w:t>
      </w:r>
      <w:r/>
    </w:p>
    <w:p>
      <w:r/>
      <w:r>
        <w:t>As the conference progresses, participants eagerly await further discussions and collaborations that promise to enrich their professional practice and, ultimately, benefit the patients they serve.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