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Major projects and corporate moves underway across various sectors</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rPr>
          <w:b/>
        </w:rPr>
        <w:t>Major Projects and Corporate Moves Underway Across Various Sectors</w:t>
      </w:r>
      <w:r/>
    </w:p>
    <w:p>
      <w:r/>
      <w:r>
        <w:rPr>
          <w:i/>
        </w:rPr>
        <w:t>Peterhead, Scotland</w:t>
      </w:r>
      <w:r>
        <w:t xml:space="preserve"> - SSEN Transmission and National Grid Electricity Transmission have broken ground on the Eastern Green Link 2 (EGL2) project, a high-capacity 2GW subsea electricity transmission cable connecting Peterhead in Scotland to Drax in Yorkshire, England. The £4.3bn project, featuring a 436km long HVDC subsea transmission cable plus 68km of underground cable to Drax's HVDC converter station in Yorkshire, is expected to be operational by 2029.</w:t>
      </w:r>
      <w:r/>
    </w:p>
    <w:p>
      <w:r/>
      <w:r>
        <w:rPr>
          <w:i/>
        </w:rPr>
        <w:t>Ljungsbro, Sweden</w:t>
      </w:r>
      <w:r>
        <w:t xml:space="preserve"> - Cloetta has paused its investment in a new confectionery plant in the Netherlands due to concerns over energy supply reliability. Newly appointed CEO Katarina Tell, who replaced Henri de Sauvage-Nolting in September, stated that the company is reassessing the project. The review is expected to be completed by the end of Q1 2024.</w:t>
      </w:r>
      <w:r/>
    </w:p>
    <w:p>
      <w:r/>
      <w:r>
        <w:rPr>
          <w:i/>
        </w:rPr>
        <w:t>Southern Ocean, Victoria</w:t>
      </w:r>
      <w:r>
        <w:t xml:space="preserve"> - The Australian government has provisionally approved a feasibility licence for the 1.2GW Spinifex offshore wind project. The project, led by Alinta Energy and Parkwind, is progressing to detailed environmental studies and stakeholder consultations. The initiative is part of Australia's broader goals to increase clean energy production.</w:t>
      </w:r>
      <w:r/>
    </w:p>
    <w:p>
      <w:r/>
      <w:r>
        <w:rPr>
          <w:i/>
        </w:rPr>
        <w:t>Gloucestershire, UK</w:t>
      </w:r>
      <w:r>
        <w:t xml:space="preserve"> - Bishop Fleming, a UK-based accountancy firm, has appointed Tom Morrill as its new audit director. This strategic hire aims to enhance the firm's growth in Gloucestershire following the opening of its Cheltenham office.</w:t>
      </w:r>
      <w:r/>
    </w:p>
    <w:p>
      <w:r/>
      <w:r>
        <w:rPr>
          <w:i/>
        </w:rPr>
        <w:t>Middle East</w:t>
      </w:r>
      <w:r>
        <w:t xml:space="preserve"> - Biocon has partnered with Tabuk Pharmaceuticals to commercialise GLP-1 products in the Middle East aimed at managing diabetes and chronic weight issues. Biocon will develop and manufacture the products, while Tabuk will handle marketing and distribution.</w:t>
      </w:r>
      <w:r/>
    </w:p>
    <w:p>
      <w:r/>
      <w:r>
        <w:rPr>
          <w:i/>
        </w:rPr>
        <w:t>New York, USA</w:t>
      </w:r>
      <w:r>
        <w:t xml:space="preserve"> - The IFRS Foundation and the World Bank Group have announced a strengthened partnership to support the adoption of sustainability standards in emerging markets. This initiative aligns with the World Bank's roadmap to enhance its financial disclosures in accordance with ISSB standards.</w:t>
      </w:r>
      <w:r/>
    </w:p>
    <w:p>
      <w:r/>
      <w:r>
        <w:rPr>
          <w:i/>
        </w:rPr>
        <w:t>Middle East</w:t>
      </w:r>
      <w:r>
        <w:t xml:space="preserve"> - PwC Legal Middle East has launched the region’s first Legal Generative AI (GenAI) service, leveraging partnerships with OpenAI, Harvey, and ContractpodAi. The new service aims to optimise legal workflows and support both private and public sector organisations.</w:t>
      </w:r>
      <w:r/>
    </w:p>
    <w:p>
      <w:r/>
      <w:r>
        <w:rPr>
          <w:i/>
        </w:rPr>
        <w:t>UK</w:t>
      </w:r>
      <w:r>
        <w:t xml:space="preserve"> - General Mills and Ahold Delhaize USA have teamed up to support farmers in adopting regenerative agriculture practices. The initiative will see co-investments in selected growing regions to bolster soil health and reduce greenhouse gas emissions.</w:t>
      </w:r>
      <w:r/>
    </w:p>
    <w:p>
      <w:r/>
      <w:r>
        <w:rPr>
          <w:i/>
        </w:rPr>
        <w:t>Bermuda</w:t>
      </w:r>
      <w:r>
        <w:t xml:space="preserve"> - Becker, a Colibri Group company, has partnered with CPA Bermuda to offer US CPA Exam review courses in Bermuda. This initiative aims to increase the success rate of Bermudian candidates aspiring to become Certified Public Accountants.</w:t>
      </w:r>
      <w:r/>
    </w:p>
    <w:p>
      <w:r/>
      <w:r>
        <w:rPr>
          <w:i/>
        </w:rPr>
        <w:t>AI in Marketing</w:t>
      </w:r>
      <w:r>
        <w:t xml:space="preserve"> - Mondelēz International has announced a collaboration with Accenture and Publicis Groupe to develop an AI-powered platform to enhance its global marketing capabilities. The platform will enable faster, more efficient creation of personalised content and will roll out globally.</w:t>
      </w:r>
      <w:r/>
    </w:p>
    <w:p>
      <w:r/>
      <w:r>
        <w:rPr>
          <w:i/>
        </w:rPr>
        <w:t>Arkansas, USA</w:t>
      </w:r>
      <w:r>
        <w:t xml:space="preserve"> - Coca-Cola Consolidated has invested $25m to expand its West Memphis production facility. The investment includes a new bottling line and blow mold production capabilities to produce plastic bottles on-site, aiming to increase production capacity and streamline operations.</w:t>
      </w:r>
      <w:r/>
    </w:p>
    <w:p>
      <w:r/>
      <w:r>
        <w:rPr>
          <w:i/>
        </w:rPr>
        <w:t>Norway</w:t>
      </w:r>
      <w:r>
        <w:t xml:space="preserve"> - Salmon farming and processing giant Mowi aims to achieve up to €400m in cost savings over the next five years by leveraging new technologies like digitalisation, automation, and robotics. </w:t>
      </w:r>
      <w:r/>
    </w:p>
    <w:p>
      <w:r/>
      <w:r>
        <w:rPr>
          <w:i/>
        </w:rPr>
        <w:t>Victoria, Spain</w:t>
      </w:r>
      <w:r>
        <w:t xml:space="preserve"> - Defense Metals and the Saskatchewan Research Council have signed an MOU to bolster Canada’s rare earth element supply chain. The partnership aims to capitalise on both parties' strengths in the rare earths value chain, aligning with the Canadian Critical Minerals Strategy.</w:t>
      </w:r>
      <w:r/>
    </w:p>
    <w:p>
      <w:r/>
      <w:r>
        <w:rPr>
          <w:i/>
        </w:rPr>
        <w:t>Spain</w:t>
      </w:r>
      <w:r>
        <w:t xml:space="preserve"> - Europastry has resumed its IPO process after shelving plans earlier this year. The company aims to raise €555m, with funds directed towards debt reduction and potential M&amp;A activities. The IPO includes shares priced between €15.85 and €18.75, with listing expected on 10 October.</w:t>
      </w:r>
      <w:r/>
    </w:p>
    <w:p>
      <w:r/>
      <w:r>
        <w:rPr>
          <w:i/>
        </w:rPr>
        <w:t>Brazil</w:t>
      </w:r>
      <w:r>
        <w:t xml:space="preserve"> - Minerva Foods has received full approval from Brazil's competition regulator CADE for its $1.3bn acquisition of processing assets from Marfrig, contingent on selling a plant in Goiás. Completion is expected by the end of next month.</w:t>
      </w:r>
      <w:r/>
    </w:p>
    <w:p>
      <w:r/>
      <w:r>
        <w:rPr>
          <w:i/>
        </w:rPr>
        <w:t>West Memphis, USA</w:t>
      </w:r>
      <w:r>
        <w:t xml:space="preserve"> - Spirit AeroSystems has warned of potential furloughs due to paused production amid Boeing’s ongoing strike. The Kansas-based supplier is addressing a backlog in order to manage the impact but anticipates further delays if strikes continue.</w:t>
      </w:r>
      <w:r/>
    </w:p>
    <w:p>
      <w:r/>
      <w:r>
        <w:rPr>
          <w:i/>
        </w:rPr>
        <w:t>Victoria, Australia</w:t>
      </w:r>
      <w:r>
        <w:t xml:space="preserve"> - Defense Metals has signed an MOU with the Saskatchewan Research Council to support the rare earth element supply chain in Canada. This initiative aligns with national objectives to boost economic competitiveness and technological innovation.</w:t>
      </w:r>
      <w:r/>
    </w:p>
    <w:p>
      <w:r/>
      <w:r>
        <w:t>As these projects unfold, they reflect a diverse array of initiatives designed to bolster technological, economic, and environmental advancements across the globe.</w:t>
      </w:r>
      <w:r/>
    </w:p>
    <w:p>
      <w:r/>
      <w:r>
        <w:t xml:space="preserve">Source: </w:t>
      </w:r>
      <w:hyperlink r:id="rId9">
        <w:r>
          <w:rPr>
            <w:color w:val="0000EE"/>
            <w:u w:val="single"/>
          </w:rPr>
          <w:t>Noah Wire Services</w:t>
        </w:r>
      </w:hyperlink>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