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Taiwan Semiconductor eyes $1 trillion milestone amid AI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Taiwan Semiconductor Eyes $1 Trillion Milestone Amid AI Boom</w:t>
      </w:r>
      <w:r/>
    </w:p>
    <w:p>
      <w:r/>
      <w:r>
        <w:t>In what may herald a new era for the semiconductor industry, Taiwan Semiconductor Manufacturing Company (TSMC) is poised to become the next non-state-owned entity to join the prestigious $1 trillion market capitalisation club. This group currently includes the "Magnificent Seven" technology companies and, most recently, Berkshire Hathaway. While Tesla and Berkshire Hathaway have fluctuated below the trillion-dollar threshold, TSMC appears on a robust trajectory towards crossing this milestone, driven predominantly by the burgeoning demand for artificial intelligence (AI).</w:t>
      </w:r>
      <w:r/>
    </w:p>
    <w:p>
      <w:r/>
      <w:r>
        <w:rPr>
          <w:b/>
        </w:rPr>
        <w:t>Rising Demand for AI</w:t>
      </w:r>
      <w:r/>
    </w:p>
    <w:p>
      <w:r/>
      <w:r>
        <w:t>The exponential rise in AI investment is fuelling the growth of companies like TSMC. In recent years, corporate spending on AI has surged to an estimated $200 billion annually. Projections forecast this figure will triple to over $600 billion by 2028. Much of this expenditure is funnelled into semiconductor products from notable firms such as Nvidia and Advanced Micro Devices, with TSMC acting as a critical supplier.</w:t>
      </w:r>
      <w:r/>
    </w:p>
    <w:p>
      <w:r/>
      <w:r>
        <w:t>TSMC's expertise in semiconductor manufacturing, particularly in ultrasmall transistor lengths, positions it uniquely in the market. The company is currently the sole producer of 3-nanometer semiconductors. Such advanced semiconductors are essential for running complex AI computations efficiently, securing TSMC as a preferred manufacturing partner for tech giants like Nvidia.</w:t>
      </w:r>
      <w:r/>
    </w:p>
    <w:p>
      <w:r/>
      <w:r>
        <w:rPr>
          <w:b/>
        </w:rPr>
        <w:t>Financial Performance and Market Position</w:t>
      </w:r>
      <w:r/>
    </w:p>
    <w:p>
      <w:r/>
      <w:r>
        <w:t>In terms of financial performance, TSMC has shown remarkable growth. It has expanded its operating income by 277% over the last decade, reaching $32 billion — approximately four times that of Tesla, one of the few companies that have surpassed the $1 trillion market cap. Despite Tesla's higher valuation, TSMC’s valuation remains reasonable with a price-to-earnings (P/E) ratio of 32.6, reflecting its solid standing in the industry.</w:t>
      </w:r>
      <w:r/>
    </w:p>
    <w:p>
      <w:r/>
      <w:r>
        <w:t>The majority of TSMC's revenue now stems from advanced semiconductor types, with the high-performance computing segment growing sales 28% quarter over quarter. With an estimated 60% market share among foundry manufacturers, TSMC dominates the market for producing third-party semiconductors. This market leadership, coupled with the continued AI boom, sets the stage for its likely ascent to a $1 trillion market cap.</w:t>
      </w:r>
      <w:r/>
    </w:p>
    <w:p>
      <w:r/>
      <w:r>
        <w:rPr>
          <w:b/>
        </w:rPr>
        <w:t>Future Outlook</w:t>
      </w:r>
      <w:r/>
    </w:p>
    <w:p>
      <w:r/>
      <w:r>
        <w:t>Looking forward, TSMC's technological edge appears critical to its sustained growth in operating earnings. The increasing investment in AI and the broader application of semiconductors across various industries promise to bolster TSMC's revenue streams. The company's robust positioning in the semiconductor market continues to attract substantial demand, particularly from AI-related applications.</w:t>
      </w:r>
      <w:r/>
    </w:p>
    <w:p>
      <w:r/>
      <w:r>
        <w:t>Currently, TSMC's market cap stands at approximately $968 billion. A modest rise of around 3% in its stock value would propel it into the elite $1 trillion market cap echelon. Given its current trajectory and the promising growth in AI expenditures, reaching this milestone seems almost imminent for the semiconductor titan.</w:t>
      </w:r>
      <w:r/>
    </w:p>
    <w:p>
      <w:r/>
      <w:r>
        <w:t>As TSMC approaches this significant achievement, it pioneers the ever-evolving intersection of advanced technology and high finance, mapping a compelling future for the semiconductor industry and global technology markets.</w:t>
      </w:r>
      <w:r/>
    </w:p>
    <w:p>
      <w:pPr>
        <w:pBdr>
          <w:bottom w:val="single" w:sz="6" w:space="1" w:color="auto"/>
        </w:pBdr>
      </w:pPr>
      <w:r/>
    </w:p>
    <w:p>
      <w:r/>
      <w:r>
        <w:t>Readers interested in the stock market and technological advancements will likely find TSMC’s journey to a trillion-dollar valuation highly relevant. The market dynamics suggest that TSMC has positioned itself as a fundamental player in the evolving AI and semiconductor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