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research in the Midlands to revolutionise automotive and aerospace industries with recycled aluminium components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Ground-breaking Research in the Midlands to Revolutionise Automotive and Aerospace Industries with Recycled Aluminium Components</w:t>
      </w:r>
      <w:r/>
    </w:p>
    <w:p>
      <w:r/>
      <w:r>
        <w:t>In an unprecedented global initiative, the Midlands of England is now the hub of a pioneering research programme aimed at revolutionising the automotive and aerospace industries. For the first time, automotive and aerospace cast components are being developed from 100% recycled aluminium, promising to alter the landscape of manufacturing by making vehicles more sustainable, lighter, cheaper, and better performing.</w:t>
      </w:r>
      <w:r/>
    </w:p>
    <w:p>
      <w:r/>
      <w:r>
        <w:t>The initiative is spearheaded by Coventry-based casting firm Sarginsons Industries, in collaboration with an impressive roster of research partners, including luxury automaker Aston Martin. The project, known as the Performance Integrated Vehicle Optimisation Technology project (PIVOT), has received significant funding in the form of a $6.72 million matched grant from the Advanced Propulsion Centre and Innovate UK.</w:t>
      </w:r>
      <w:r/>
    </w:p>
    <w:p>
      <w:r/>
      <w:r>
        <w:t>Altair, a global leader in computational intelligence renowned for its sophisticated simulation and AI-driven solutions, is also playing a crucial role in this venture. Altair's expertise will be deployed to develop advanced software, designed to utilise artificial intelligence to create organic designs for new chassis components specifically for an existing Aston Martin model.</w:t>
      </w:r>
      <w:r/>
    </w:p>
    <w:p>
      <w:r/>
      <w:r>
        <w:t>The innovative software is poised to offer a highly automated, simulation-driven design process for these components. One of the most promising aspects of this technology lies in its ability to expedite the development process, thereby reducing time to market and overall development costs. The software's capability to simulate and analyse varying mechanical properties allows it to optimise the placement of materials, producing components that are not only lighter but also stronger.</w:t>
      </w:r>
      <w:r/>
    </w:p>
    <w:p>
      <w:r/>
      <w:r>
        <w:t xml:space="preserve">The PIVOT project, with its focus on 100% recycled aluminium, is set to be a game changer in the production of new vehicles. This advancement aligns with a broader goal of achieving greater sustainability within the manufacturing sectors. By leveraging cutting-edge computational intelligence to enhance material efficiency and performance, the initiative presents a significant leap forward in both automotive and aerospace engineering. </w:t>
      </w:r>
      <w:r/>
    </w:p>
    <w:p>
      <w:r/>
      <w:r>
        <w:t>This landmark research and development project illustrates the potential for innovation when industry leaders and advanced technology combine to push the boundaries of material science and engineering. The outcomes of this project are eagerly anticipated, as they promise to set new standards for vehicle performance and environmental sustainability.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