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Enterprises grapple with achieving cyber resilience amidst AI advances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Enterprises Grapple with Achieving Cyber Resilience Amidst AI Advances</w:t>
      </w:r>
      <w:r/>
    </w:p>
    <w:p>
      <w:r/>
      <w:r>
        <w:t>In an era marked by rapid advancements in Artificial Intelligence (AI) and a constantly evolving regulatory landscape, enterprises are increasingly struggling to achieve cyber resilience. This trend is prominently highlighted in a recent survey conducted by PricewaterhouseCoopers (PwC) aimed at understanding the state of global digital trust.</w:t>
      </w:r>
      <w:r/>
    </w:p>
    <w:p>
      <w:r/>
      <w:r>
        <w:t>The findings from the survey paint a stark picture: a mere two percent of participating organisations have successfully implemented comprehensive cyber resilience actions across all surveyed areas. This statistic underscores the challenges that companies face in safeguarding their data and systems from cyber threats.</w:t>
      </w:r>
      <w:r/>
    </w:p>
    <w:p>
      <w:r/>
      <w:r>
        <w:t>Matt Gorham, the head of PwC’s Cyber &amp; Privacy Innovation Institute, elaborated on the survey's outcomes, attributing the growing difficulty in achieving cyber resilience to the increased complexity of cybersecurity. This complexity is significantly driven by the adoption of modern AI technologies, particularly generative AI, which although powerful and innovative, introduce new vulnerabilities and challenges.</w:t>
      </w:r>
      <w:r/>
    </w:p>
    <w:p>
      <w:r/>
      <w:r>
        <w:t>Generative AI technologies, which can create content ranging from text to images and even music, offer remarkable possibilities but also pose unique cybersecurity risks. These risks include the potential misuse of AI to generate malicious content that can bypass traditional security measures and undermine digital trust.</w:t>
      </w:r>
      <w:r/>
    </w:p>
    <w:p>
      <w:r/>
      <w:r>
        <w:t>The regulatory environment has been another contributing factor. As governmental and international bodies rush to keep up with the pace of AI innovation, regulations are frequently updated, requiring companies to continually adapt their cybersecurity strategies. This dynamic regulatory landscape makes it challenging for enterprises to maintain consistent and effective cyber resilience measures.</w:t>
      </w:r>
      <w:r/>
    </w:p>
    <w:p>
      <w:r/>
      <w:r>
        <w:t>The findings from the PwC survey highlight a critical issue for business leaders and IT departments worldwide as they navigate the dual pressures of emerging AI technologies and shifting regulatory requirements. It appears that maintaining robust cyber defences is no longer a straightforward task but one that requires constant vigilance and adaptation.</w:t>
      </w:r>
      <w:r/>
    </w:p>
    <w:p>
      <w:r/>
      <w:r>
        <w:t>Ultimately, the survey's findings and expert insights suggest that while AI offers transformative benefits for industries, it simultaneously complicates the cybersecurity landscape, demanding greater attention and innovative solutions to achieve and maintain cyber resilience.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URL does not directly corroborate the specific claims about cyber resilience and AI, but it provides context on a company involved in AI-driven news content generation, which can be related to the broader discussion on AI advancements.</w:t>
      </w:r>
      <w:r/>
    </w:p>
    <w:p>
      <w:pPr>
        <w:pStyle w:val="ListNumber"/>
        <w:spacing w:line="240" w:lineRule="auto"/>
        <w:ind w:left="720"/>
      </w:pPr>
      <w:r/>
      <w:hyperlink r:id="rId10">
        <w:r>
          <w:rPr>
            <w:color w:val="0000EE"/>
            <w:u w:val="single"/>
          </w:rPr>
          <w:t>https://noahwire.com</w:t>
        </w:r>
      </w:hyperlink>
      <w:r>
        <w:t xml:space="preserve"> - This URL discusses the use of AI in news content generation, which can be linked to the broader theme of AI adoption and its implications, although it does not specifically address cyber resilience.</w:t>
      </w:r>
      <w:r/>
    </w:p>
    <w:p>
      <w:pPr>
        <w:pStyle w:val="ListNumber"/>
        <w:spacing w:line="240" w:lineRule="auto"/>
        <w:ind w:left="720"/>
      </w:pPr>
      <w:r/>
      <w:hyperlink r:id="rId11">
        <w:r>
          <w:rPr>
            <w:color w:val="0000EE"/>
            <w:u w:val="single"/>
          </w:rPr>
          <w:t>https://noahwire.com/terms/</w:t>
        </w:r>
      </w:hyperlink>
      <w:r>
        <w:t xml:space="preserve"> - This URL outlines the terms and conditions of using AI-driven services, including data handling and intellectual property, which can be relevant to understanding the complexities of AI adoption and regulatory compliance.</w:t>
      </w:r>
      <w:r/>
    </w:p>
    <w:p>
      <w:pPr>
        <w:pStyle w:val="ListNumber"/>
        <w:spacing w:line="240" w:lineRule="auto"/>
        <w:ind w:left="720"/>
      </w:pPr>
      <w:r/>
      <w:hyperlink r:id="rId11">
        <w:r>
          <w:rPr>
            <w:color w:val="0000EE"/>
            <w:u w:val="single"/>
          </w:rPr>
          <w:t>https://noahwire.com/terms/</w:t>
        </w:r>
      </w:hyperlink>
      <w:r>
        <w:t xml:space="preserve"> - This URL mentions the handling of data and compliance with applicable data protection laws, which is relevant to the regulatory environment and data protection aspects discussed in the article.</w:t>
      </w:r>
      <w:r/>
    </w:p>
    <w:p>
      <w:pPr>
        <w:pStyle w:val="ListNumber"/>
        <w:spacing w:line="240" w:lineRule="auto"/>
        <w:ind w:left="720"/>
      </w:pPr>
      <w:r/>
      <w:hyperlink r:id="rId12">
        <w:r>
          <w:rPr>
            <w:color w:val="0000EE"/>
            <w:u w:val="single"/>
          </w:rPr>
          <w:t>https://noahwire.com/privacy-policy/</w:t>
        </w:r>
      </w:hyperlink>
      <w:r>
        <w:t xml:space="preserve"> - This URL details how data is collected and handled, which is pertinent to the discussion on data protection and regulatory compliance in the context of AI advancements.</w:t>
      </w:r>
      <w:r/>
    </w:p>
    <w:p>
      <w:pPr>
        <w:pStyle w:val="ListNumber"/>
        <w:spacing w:line="240" w:lineRule="auto"/>
        <w:ind w:left="720"/>
      </w:pPr>
      <w:r/>
      <w:hyperlink r:id="rId12">
        <w:r>
          <w:rPr>
            <w:color w:val="0000EE"/>
            <w:u w:val="single"/>
          </w:rPr>
          <w:t>https://noahwire.com/privacy-policy/</w:t>
        </w:r>
      </w:hyperlink>
      <w:r>
        <w:t xml:space="preserve"> - This URL explains the use of cookies and data retention policies, which can be related to the broader discussion on data security and cyber resilience.</w:t>
      </w:r>
      <w:r/>
    </w:p>
    <w:p>
      <w:pPr>
        <w:pStyle w:val="ListNumber"/>
        <w:spacing w:line="240" w:lineRule="auto"/>
        <w:ind w:left="720"/>
      </w:pPr>
      <w:r/>
      <w:hyperlink r:id="rId10">
        <w:r>
          <w:rPr>
            <w:color w:val="0000EE"/>
            <w:u w:val="single"/>
          </w:rPr>
          <w:t>https://noahwire.com</w:t>
        </w:r>
      </w:hyperlink>
      <w:r>
        <w:t xml:space="preserve"> - This URL highlights the advanced technology used in scanning and reading a vast number of results, which can be linked to the discussion on the complexity introduced by AI technologies.</w:t>
      </w:r>
      <w:r/>
    </w:p>
    <w:p>
      <w:pPr>
        <w:pStyle w:val="ListNumber"/>
        <w:spacing w:line="240" w:lineRule="auto"/>
        <w:ind w:left="720"/>
      </w:pPr>
      <w:r/>
      <w:hyperlink r:id="rId10">
        <w:r>
          <w:rPr>
            <w:color w:val="0000EE"/>
            <w:u w:val="single"/>
          </w:rPr>
          <w:t>https://noahwire.com</w:t>
        </w:r>
      </w:hyperlink>
      <w:r>
        <w:t xml:space="preserve"> - This URL discusses the verification of trending stories against AAA-rated news agencies/sources, which touches on the aspect of maintaining trust and security in AI-generated content.</w:t>
      </w:r>
      <w:r/>
    </w:p>
    <w:p>
      <w:pPr>
        <w:pStyle w:val="ListNumber"/>
        <w:spacing w:line="240" w:lineRule="auto"/>
        <w:ind w:left="720"/>
      </w:pPr>
      <w:r/>
      <w:hyperlink r:id="rId11">
        <w:r>
          <w:rPr>
            <w:color w:val="0000EE"/>
            <w:u w:val="single"/>
          </w:rPr>
          <w:t>https://noahwire.com/terms/</w:t>
        </w:r>
      </w:hyperlink>
      <w:r>
        <w:t xml:space="preserve"> - This URL mentions the liability and legal aspects related to the use of AI-driven services, which is relevant to the regulatory and legal challenges faced by enterprises.</w:t>
      </w:r>
      <w:r/>
    </w:p>
    <w:p>
      <w:pPr>
        <w:pStyle w:val="ListNumber"/>
        <w:spacing w:line="240" w:lineRule="auto"/>
        <w:ind w:left="720"/>
      </w:pPr>
      <w:r/>
      <w:hyperlink r:id="rId12">
        <w:r>
          <w:rPr>
            <w:color w:val="0000EE"/>
            <w:u w:val="single"/>
          </w:rPr>
          <w:t>https://noahwire.com/privacy-policy/</w:t>
        </w:r>
      </w:hyperlink>
      <w:r>
        <w:t xml:space="preserve"> - This URL details the handling of user data and compliance with data protection laws, which is crucial in understanding the cybersecurity and regulatory landscape.</w:t>
      </w:r>
      <w:r/>
    </w:p>
    <w:p>
      <w:pPr>
        <w:pStyle w:val="ListNumber"/>
        <w:spacing w:line="240" w:lineRule="auto"/>
        <w:ind w:left="720"/>
      </w:pPr>
      <w:r/>
      <w:hyperlink r:id="rId13">
        <w:r>
          <w:rPr>
            <w:color w:val="0000EE"/>
            <w:u w:val="single"/>
          </w:rPr>
          <w:t>https://www.csoonline.com/article/3542514/cyber-resilience-becoming-extremely-difficult-amid-gen-ai-upgrades.html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csoonline.com/article/3542514/cyber-resilience-becoming-extremely-difficult-amid-gen-ai-upgrad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