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Current landscape of artificial intelligence: global perspectives and initiatives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Current Landscape of Artificial Intelligence: Global Perspectives and Initiatives</w:t>
      </w:r>
      <w:r/>
    </w:p>
    <w:p>
      <w:r/>
      <w:r>
        <w:t>The burgeoning field of artificial intelligence (AI) continues to attract substantial attention worldwide, with varying perspectives and strategies emerging from different corners of the globe. As the technology promises transformative potential, key figures and regions are adopting a range of approaches to managing AI's integration into the economy and society.</w:t>
      </w:r>
      <w:r/>
    </w:p>
    <w:p>
      <w:r/>
      <w:r>
        <w:rPr>
          <w:b/>
        </w:rPr>
        <w:t>US Perspective: Cautious Optimism Amid Slow Productivity Gains</w:t>
      </w:r>
      <w:r/>
    </w:p>
    <w:p>
      <w:r/>
      <w:r>
        <w:t>In the United States, Federal Reserve Governor Lisa Cook addressed the anticipated impact of AI on productivity at an Atlanta Fed conference. Despite the excitement surrounding AI, Cook urged for moderated expectations, noting a disconnect between the impressive advancements in AI innovations and the modest productivity gains seen thus far. According to Cook, US productivity saw a 2.7% rise in the second quarter compared to the previous year. However, the average annual growth since early 2000 has remained around 1.5%, signalling limited immediate economic benefits despite significant investments in generative AI.</w:t>
      </w:r>
      <w:r/>
    </w:p>
    <w:p>
      <w:r/>
      <w:r>
        <w:t>Cook highlighted the potential of AI to evolve into a general-purpose technology, which could eventually drive substantial productivity and wage growth. However, she emphasised that this transformation would require time, as businesses and workers adapt to these new technologies. Thus, while she holds a positive long-term view, Cook acknowledges that AI's current real-world impact may reflect a gradual technological evolution rather than a rapid revolution.</w:t>
      </w:r>
      <w:r/>
    </w:p>
    <w:p>
      <w:r/>
      <w:r>
        <w:rPr>
          <w:b/>
        </w:rPr>
        <w:t>Malaysia: Ambitious National Strategy for AI and Cloud Development</w:t>
      </w:r>
      <w:r/>
    </w:p>
    <w:p>
      <w:r/>
      <w:r>
        <w:t>In Southeast Asia, Malaysia is charting an ambitious course to become a leading AI hub. Prime Minister Anwar Ibrahim recently unveiled a national cloud and AI strategy during a ceremony marking Google's $2 billion data centre investment in the country. The strategy aims to enhance innovation in public services, boost economic competitiveness, ensure data security, and promote digital inclusivity.</w:t>
      </w:r>
      <w:r/>
    </w:p>
    <w:p>
      <w:r/>
      <w:r>
        <w:t>Central to Malaysia's initiative is the establishment of a national AI office, which will oversee the development of a regulatory framework within the next year. This effort aligns with Malaysia’s broader five-year technology action plan, prioritising ethical and sustainable AI usage. Anwar underscored the importance of international tech partnerships, stating that such investments are crucial for building Malaysia's digital infrastructure. With this strategy, Malaysia positions itself to assert significant influence within the global tech sector.</w:t>
      </w:r>
      <w:r/>
    </w:p>
    <w:p>
      <w:r/>
      <w:r>
        <w:rPr>
          <w:b/>
        </w:rPr>
        <w:t>European Union: Structured Approach to Regulating AI</w:t>
      </w:r>
      <w:r/>
    </w:p>
    <w:p>
      <w:r/>
      <w:r>
        <w:t>Across the Atlantic, the European Commission has embarked on crafting a comprehensive Code of Practice for General Purpose Artificial Intelligence (GPAI). To this end, thirteen experts from the European Union, United States, and Canada have been appointed to lead this initiative. The group includes notable figures such as Stanford University's Rishi Bommasani and A.M. Turing Award winner Yoshua Bengio.</w:t>
      </w:r>
      <w:r/>
    </w:p>
    <w:p>
      <w:r/>
      <w:r>
        <w:t>Scheduled for completion by August 2025, the Code of Practice aims to guide AI system providers under the EU's AI Act, focusing on issues such as transparency, copyright, and risk management. This development reflects the EU’s structured approach to AI governance, following the implementation of the AI Act earlier this year. It involves significant collaboration, with around 1,000 stakeholders expected to participate in an online plenary session to help shape the guidelines.</w:t>
      </w:r>
      <w:r/>
    </w:p>
    <w:p>
      <w:r/>
      <w:r>
        <w:rPr>
          <w:b/>
        </w:rPr>
        <w:t>A Complex and Evolving Landscape</w:t>
      </w:r>
      <w:r/>
    </w:p>
    <w:p>
      <w:r/>
      <w:r>
        <w:t>These varied efforts highlight the complexity and diversity of strategies employed globally to harness AI's potential. While enthusiasm and substantial investments in AI technologies are unprecedented, the road to realising AI’s benefits fully appears to be interspersed with challenges and requires careful navigation. As nations and organisations continue to grapple with AI's possibilities and implications, the global discourse on AI remains vibrant and dynamic, reflecting the transformative nature of this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https://ipwatchdog.com/2023/08/10/international-perspectives-rd-ai-policies-global-landscape/id=163937/</w:t>
        </w:r>
      </w:hyperlink>
      <w:r>
        <w:t xml:space="preserve"> - Corroborates the global landscape of R&amp;D and AI policies, including the European Union's comprehensive research and innovation program and China's AI development plans.</w:t>
      </w:r>
      <w:r/>
    </w:p>
    <w:p>
      <w:pPr>
        <w:pStyle w:val="ListNumber"/>
        <w:spacing w:line="240" w:lineRule="auto"/>
        <w:ind w:left="720"/>
      </w:pPr>
      <w:r/>
      <w:hyperlink r:id="rId11">
        <w:r>
          <w:rPr>
            <w:color w:val="0000EE"/>
            <w:u w:val="single"/>
          </w:rPr>
          <w:t>https://carnegieendowment.org/research/2024/04/advancing-a-more-global-agenda-for-trustworthy-artificial-intelligence?lang=en&amp;center=global</w:t>
        </w:r>
      </w:hyperlink>
      <w:r>
        <w:t xml:space="preserve"> - Supports the need for global cooperation and inclusion of diverse perspectives in AI governance, highlighting the dominance of the Global North in AI development and the need for more equitable distribution of AI benefits.</w:t>
      </w:r>
      <w:r/>
    </w:p>
    <w:p>
      <w:pPr>
        <w:pStyle w:val="ListNumber"/>
        <w:spacing w:line="240" w:lineRule="auto"/>
        <w:ind w:left="720"/>
      </w:pPr>
      <w:r/>
      <w:hyperlink r:id="rId12">
        <w:r>
          <w:rPr>
            <w:color w:val="0000EE"/>
            <w:u w:val="single"/>
          </w:rPr>
          <w:t>https://www.cfr.org/councilofcouncils/global-memos/global-perspectives-ai-good-global-summit</w:t>
        </w:r>
      </w:hyperlink>
      <w:r>
        <w:t xml:space="preserve"> - Discusses global initiatives such as the AI for Good Global Summit and the importance of international cooperation in AI governance, aligning with the complex and evolving landscape of AI strategies.</w:t>
      </w:r>
      <w:r/>
    </w:p>
    <w:p>
      <w:pPr>
        <w:pStyle w:val="ListNumber"/>
        <w:spacing w:line="240" w:lineRule="auto"/>
        <w:ind w:left="720"/>
      </w:pPr>
      <w:r/>
      <w:hyperlink r:id="rId13">
        <w:r>
          <w:rPr>
            <w:color w:val="0000EE"/>
            <w:u w:val="single"/>
          </w:rPr>
          <w:t>https://www.stimson.org/project/responsible-ai-fellowship/</w:t>
        </w:r>
      </w:hyperlink>
      <w:r>
        <w:t xml:space="preserve"> - Highlights the Responsible AI Fellowship program, which examines AI applications and their impacts in developing countries, reflecting the need for responsible AI development and use globally.</w:t>
      </w:r>
      <w:r/>
    </w:p>
    <w:p>
      <w:pPr>
        <w:pStyle w:val="ListNumber"/>
        <w:spacing w:line="240" w:lineRule="auto"/>
        <w:ind w:left="720"/>
      </w:pPr>
      <w:r/>
      <w:hyperlink r:id="rId14">
        <w:r>
          <w:rPr>
            <w:color w:val="0000EE"/>
            <w:u w:val="single"/>
          </w:rPr>
          <w:t>https://www.ilo.org/publications/major-publications/mind-ai-divide-shaping-global-perspective-future-work</w:t>
        </w:r>
      </w:hyperlink>
      <w:r>
        <w:t xml:space="preserve"> - Addresses the uneven adoption of AI and its implications for global equity, fairness, and social justice, emphasizing the need for collaborative efforts to shape global AI governance.</w:t>
      </w:r>
      <w:r/>
    </w:p>
    <w:p>
      <w:pPr>
        <w:pStyle w:val="ListNumber"/>
        <w:spacing w:line="240" w:lineRule="auto"/>
        <w:ind w:left="720"/>
      </w:pPr>
      <w:r/>
      <w:hyperlink r:id="rId10">
        <w:r>
          <w:rPr>
            <w:color w:val="0000EE"/>
            <w:u w:val="single"/>
          </w:rPr>
          <w:t>https://ipwatchdog.com/2023/08/10/international-perspectives-rd-ai-policies-global-landscape/id=163937/</w:t>
        </w:r>
      </w:hyperlink>
      <w:r>
        <w:t xml:space="preserve"> - Provides details on the European Union's Horizon Europe program and its focus on advancing digital technologies, climate objectives, and economic stability, which aligns with the EU's structured approach to regulating AI.</w:t>
      </w:r>
      <w:r/>
    </w:p>
    <w:p>
      <w:pPr>
        <w:pStyle w:val="ListNumber"/>
        <w:spacing w:line="240" w:lineRule="auto"/>
        <w:ind w:left="720"/>
      </w:pPr>
      <w:r/>
      <w:hyperlink r:id="rId11">
        <w:r>
          <w:rPr>
            <w:color w:val="0000EE"/>
            <w:u w:val="single"/>
          </w:rPr>
          <w:t>https://carnegieendowment.org/research/2024/04/advancing-a-more-global-agenda-for-trustworthy-artificial-intelligence?lang=en&amp;center=global</w:t>
        </w:r>
      </w:hyperlink>
      <w:r>
        <w:t xml:space="preserve"> - Explains the geographic skew in AI production and governance, and the need to include perspectives from the Global South in AI governance efforts, which is relevant to the global discourse on AI.</w:t>
      </w:r>
      <w:r/>
    </w:p>
    <w:p>
      <w:pPr>
        <w:pStyle w:val="ListNumber"/>
        <w:spacing w:line="240" w:lineRule="auto"/>
        <w:ind w:left="720"/>
      </w:pPr>
      <w:r/>
      <w:hyperlink r:id="rId12">
        <w:r>
          <w:rPr>
            <w:color w:val="0000EE"/>
            <w:u w:val="single"/>
          </w:rPr>
          <w:t>https://www.cfr.org/councilofcouncils/global-memos/global-perspectives-ai-good-global-summit</w:t>
        </w:r>
      </w:hyperlink>
      <w:r>
        <w:t xml:space="preserve"> - Mentions the ASEAN Guide's proposal for a dedicated working group on AI, highlighting regional efforts to govern AI and promote sustainable development.</w:t>
      </w:r>
      <w:r/>
    </w:p>
    <w:p>
      <w:pPr>
        <w:pStyle w:val="ListNumber"/>
        <w:spacing w:line="240" w:lineRule="auto"/>
        <w:ind w:left="720"/>
      </w:pPr>
      <w:r/>
      <w:hyperlink r:id="rId13">
        <w:r>
          <w:rPr>
            <w:color w:val="0000EE"/>
            <w:u w:val="single"/>
          </w:rPr>
          <w:t>https://www.stimson.org/project/responsible-ai-fellowship/</w:t>
        </w:r>
      </w:hyperlink>
      <w:r>
        <w:t xml:space="preserve"> - Details the fellowship program's focus on evaluating AI applications in developing countries, which aligns with the need for careful navigation of AI's benefits and challenges globally.</w:t>
      </w:r>
      <w:r/>
    </w:p>
    <w:p>
      <w:pPr>
        <w:pStyle w:val="ListNumber"/>
        <w:spacing w:line="240" w:lineRule="auto"/>
        <w:ind w:left="720"/>
      </w:pPr>
      <w:r/>
      <w:hyperlink r:id="rId14">
        <w:r>
          <w:rPr>
            <w:color w:val="0000EE"/>
            <w:u w:val="single"/>
          </w:rPr>
          <w:t>https://www.ilo.org/publications/major-publications/mind-ai-divide-shaping-global-perspective-future-work</w:t>
        </w:r>
      </w:hyperlink>
      <w:r>
        <w:t xml:space="preserve"> - Emphasizes the importance of targeted efforts to bridge the digital divide and ensure AI fosters sustainable development and alleviates poverty, reflecting the complex landscape of AI strategies.</w:t>
      </w:r>
      <w:r/>
    </w:p>
    <w:p>
      <w:pPr>
        <w:pStyle w:val="ListNumber"/>
        <w:spacing w:line="240" w:lineRule="auto"/>
        <w:ind w:left="720"/>
      </w:pPr>
      <w:r/>
      <w:hyperlink r:id="rId10">
        <w:r>
          <w:rPr>
            <w:color w:val="0000EE"/>
            <w:u w:val="single"/>
          </w:rPr>
          <w:t>https://ipwatchdog.com/2023/08/10/international-perspectives-rd-ai-policies-global-landscape/id=163937/</w:t>
        </w:r>
      </w:hyperlink>
      <w:r>
        <w:t xml:space="preserve"> - Discusses China's AI development plans and the Global Partnership on AI, which are part of the global efforts to standardize and agree on principles for AI development.</w:t>
      </w:r>
      <w:r/>
    </w:p>
    <w:p>
      <w:pPr>
        <w:pStyle w:val="ListNumber"/>
        <w:spacing w:line="240" w:lineRule="auto"/>
        <w:ind w:left="720"/>
      </w:pPr>
      <w:r/>
      <w:hyperlink r:id="rId15">
        <w:r>
          <w:rPr>
            <w:color w:val="0000EE"/>
            <w:u w:val="single"/>
          </w:rPr>
          <w:t>https://www.pymnts.com/artificial-intelligence-2/2024/fed-gov-questions-ai-productivity-boost-as-eu-readies-to-start-work-on-guidelines/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pwatchdog.com/2023/08/10/international-perspectives-rd-ai-policies-global-landscape/id=163937/" TargetMode="External"/><Relationship Id="rId11" Type="http://schemas.openxmlformats.org/officeDocument/2006/relationships/hyperlink" Target="https://carnegieendowment.org/research/2024/04/advancing-a-more-global-agenda-for-trustworthy-artificial-intelligence?lang=en&amp;center=global" TargetMode="External"/><Relationship Id="rId12" Type="http://schemas.openxmlformats.org/officeDocument/2006/relationships/hyperlink" Target="https://www.cfr.org/councilofcouncils/global-memos/global-perspectives-ai-good-global-summit" TargetMode="External"/><Relationship Id="rId13" Type="http://schemas.openxmlformats.org/officeDocument/2006/relationships/hyperlink" Target="https://www.stimson.org/project/responsible-ai-fellowship/" TargetMode="External"/><Relationship Id="rId14" Type="http://schemas.openxmlformats.org/officeDocument/2006/relationships/hyperlink" Target="https://www.ilo.org/publications/major-publications/mind-ai-divide-shaping-global-perspective-future-work" TargetMode="External"/><Relationship Id="rId15" Type="http://schemas.openxmlformats.org/officeDocument/2006/relationships/hyperlink" Target="https://www.pymnts.com/artificial-intelligence-2/2024/fed-gov-questions-ai-productivity-boost-as-eu-readies-to-start-work-on-guide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