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rent giant settles for $20 million amid AI-driven fraud allegations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California Rent Giant Settles for $20 Million Amid AI-Driven Fraud Allegations</w:t>
      </w:r>
      <w:r/>
    </w:p>
    <w:p>
      <w:r/>
      <w:r>
        <w:t>In a significant legal development, Invitation Homes, a prominent rental company, has settled a California False Claims Act (CFCA) case for $20 million following allegations of fraud that were substantiated via the innovative use of artificial intelligence (AI) tools. The case shed light on the emerging trend of utilising AI in legal claims, particularly in identifying potential fraud.</w:t>
      </w:r>
      <w:r/>
    </w:p>
    <w:p>
      <w:r/>
      <w:r>
        <w:rPr>
          <w:b/>
        </w:rPr>
        <w:t>The Case and Allegations</w:t>
      </w:r>
      <w:r/>
    </w:p>
    <w:p>
      <w:r/>
      <w:r>
        <w:t>The case, City of San Diego ex rel. Blackbird Special Project v. Invitation Homes, revolved around accusations that Invitation Homes, which renovates single-family houses in California for renting purposes, systematically bypassed obtaining necessary building permits during renovations. This alleged practice aimed to expedite house availability in the market while avoiding permit fees and higher property taxes.</w:t>
      </w:r>
      <w:r/>
    </w:p>
    <w:p>
      <w:r/>
      <w:r>
        <w:t>Central to the accusations was the use of proprietary software by the relator, Blackbird Special Project. The software allegedly harnessed AI and machine learning capabilities to collect data from rental listing platforms and compare pre- and post-renovation images from real estate websites, thereby identifying discrepancies that suggested unlawful renovation practices.</w:t>
      </w:r>
      <w:r/>
    </w:p>
    <w:p>
      <w:r/>
      <w:r>
        <w:rPr>
          <w:b/>
        </w:rPr>
        <w:t>Legal Proceedings and District Court Rulings</w:t>
      </w:r>
      <w:r/>
    </w:p>
    <w:p>
      <w:r/>
      <w:r>
        <w:t>The defendant, Invitation Homes, initially moved to dismiss the case, challenging the complaint for failing to present adequate claims under the Federal Rules of Civil Procedure 9(b) and 12(b)(6). A key aspect of their defence was the relator's lack of transparency regarding the AI-driven data analysis approach. Additionally, they argued that the CFCA’s public disclosure bar should apply, contending that the alleged fraud was already in the public domain through various online platforms inspected by the relator’s software.</w:t>
      </w:r>
      <w:r/>
    </w:p>
    <w:p>
      <w:r/>
      <w:r>
        <w:t>However, the district court did not find these arguments compelling. It validated the relator's methodology as sufficiently detailed and ruled that the accessed websites did not qualify as "news media," thus not triggering the public disclosure bar. This decision paved the way for the case to proceed, ultimately culminating in the settlement agreement.</w:t>
      </w:r>
      <w:r/>
    </w:p>
    <w:p>
      <w:r/>
      <w:r>
        <w:rPr>
          <w:b/>
        </w:rPr>
        <w:t>The Rise of AI in Legal Frameworks</w:t>
      </w:r>
      <w:r/>
    </w:p>
    <w:p>
      <w:r/>
      <w:r>
        <w:t>The Invitation Homes case serves as an early example of relators employing AI technology to underpin fraud allegations. The success of this approach could potentially signal a shift towards more data-driven claims in legal disputes, as AI can process large datasets to reveal patterns of misconduct more comprehensively than traditional methods.</w:t>
      </w:r>
      <w:r/>
    </w:p>
    <w:p>
      <w:r/>
      <w:r>
        <w:t>The case underscored that AI tools, when paired with proprietary analytical capabilities, can be instrumental in delineating the extent of alleged wrongdoing. This has implications for both whistleblowers and companies who may find themselves on opposing sides of future legal scenarios involving AI evidence.</w:t>
      </w:r>
      <w:r/>
    </w:p>
    <w:p>
      <w:r/>
      <w:r>
        <w:rPr>
          <w:b/>
        </w:rPr>
        <w:t>Implications for Compliance and Public Disclosure Bars</w:t>
      </w:r>
      <w:r/>
    </w:p>
    <w:p>
      <w:r/>
      <w:r>
        <w:t>The legal proceedings highlighted an evolving landscape where companies are anticipated to preemptively incorporate AI technologies within their compliance frameworks. Utilising AI could aid in identifying discrepancies or potential fraud internally, mitigating the risk of costly legal disputes.</w:t>
      </w:r>
      <w:r/>
    </w:p>
    <w:p>
      <w:r/>
      <w:r>
        <w:t>Moreover, the district court's examination of the public disclosure bar in the context of AI technology emphasized the nuances of its application. Given that AI tools may engage with publicly accessible information, defendants are advised to adopt a broad interpretation of the public disclosure bar, potentially arguing against the admissibility of AI-derived evidence.</w:t>
      </w:r>
      <w:r/>
    </w:p>
    <w:p>
      <w:r/>
      <w:r>
        <w:rPr>
          <w:b/>
        </w:rPr>
        <w:t>Future Outlook</w:t>
      </w:r>
      <w:r/>
    </w:p>
    <w:p>
      <w:r/>
      <w:r>
        <w:t>As cases like Invitation Homes become more common, the legal industry is likely to see an increase in AI-powered investigations. Both private organisations and whistleblower entities may amplify their reliance on digital tools to substantiate claims, prompting a reassessment of traditional legal strategies.</w:t>
      </w:r>
      <w:r/>
    </w:p>
    <w:p>
      <w:r/>
      <w:r>
        <w:t>While AI-enabled whistleblower actions are poised to become a routine fixture in legal proceedings, companies are urged to proactively integrate similar technologies within their compliance operations. This proactive stance not only aids in risk management but also positions organisations to better respond to AI-derived allegations.</w:t>
      </w:r>
      <w:r/>
    </w:p>
    <w:p>
      <w:r/>
      <w:r>
        <w:t>In closing, the Invitation Homes settlement marks a pivotal moment in legal tech applications, underscoring the growing relevance of artificial intelligence in the enforcement of compliance and regulatory mandates. The continued evolution of these tools promises to redefine the investigative capabilities within legal frameworks, potentially setting a precedent for future cases.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https://laist.com/brief/news/housing-homelessness/invitation-homes-settlement-20-million-california-los-angeles-southern-lawsuit-unpermitted-renovations</w:t>
        </w:r>
      </w:hyperlink>
      <w:r>
        <w:t xml:space="preserve"> - Corroborates the allegations that Invitation Homes did not acquire necessary permits before upgrading homes, and the subsequent settlement of nearly $20 million to California cities.</w:t>
      </w:r>
      <w:r/>
    </w:p>
    <w:p>
      <w:pPr>
        <w:pStyle w:val="ListNumber"/>
        <w:spacing w:line="240" w:lineRule="auto"/>
        <w:ind w:left="720"/>
      </w:pPr>
      <w:r/>
      <w:hyperlink r:id="rId11">
        <w:r>
          <w:rPr>
            <w:color w:val="0000EE"/>
            <w:u w:val="single"/>
          </w:rPr>
          <w:t>https://laist.com/news/housing-homelessness/invitation-homes-settlement-20-million-california-los-angeles-southern-lawsuit-unpermitted-renovations</w:t>
        </w:r>
      </w:hyperlink>
      <w:r>
        <w:t xml:space="preserve"> - Details the lawsuit and settlement, including the types of unpermitted renovations and the financial impact on cities.</w:t>
      </w:r>
      <w:r/>
    </w:p>
    <w:p>
      <w:pPr>
        <w:pStyle w:val="ListNumber"/>
        <w:spacing w:line="240" w:lineRule="auto"/>
        <w:ind w:left="720"/>
      </w:pPr>
      <w:r/>
      <w:hyperlink r:id="rId12">
        <w:r>
          <w:rPr>
            <w:color w:val="0000EE"/>
            <w:u w:val="single"/>
          </w:rPr>
          <w:t>https://www.latimes.com/homeless-housing/story/2024-07-24/invitation-homes-to-pay-nearly-20-million-to-settle-unpermitted-renovations-lawsuit-in-california</w:t>
        </w:r>
      </w:hyperlink>
      <w:r>
        <w:t xml:space="preserve"> - Provides specifics on the settlement amount, distribution among cities, and the role of Blackbird Special Ventures in the lawsuit.</w:t>
      </w:r>
      <w:r/>
    </w:p>
    <w:p>
      <w:pPr>
        <w:pStyle w:val="ListNumber"/>
        <w:spacing w:line="240" w:lineRule="auto"/>
        <w:ind w:left="720"/>
      </w:pPr>
      <w:r/>
      <w:hyperlink r:id="rId13">
        <w:r>
          <w:rPr>
            <w:color w:val="0000EE"/>
            <w:u w:val="single"/>
          </w:rPr>
          <w:t>https://www.bisnow.com/los-angeles/news/single-family-rentals/invitation-homes-settlement-permits-inspections-125187</w:t>
        </w:r>
      </w:hyperlink>
      <w:r>
        <w:t xml:space="preserve"> - Explains the settlement terms, the use of AI and machine learning by Blackbird Special Projects, and the legal context of the case.</w:t>
      </w:r>
      <w:r/>
    </w:p>
    <w:p>
      <w:pPr>
        <w:pStyle w:val="ListNumber"/>
        <w:spacing w:line="240" w:lineRule="auto"/>
        <w:ind w:left="720"/>
      </w:pPr>
      <w:r/>
      <w:hyperlink r:id="rId12">
        <w:r>
          <w:rPr>
            <w:color w:val="0000EE"/>
            <w:u w:val="single"/>
          </w:rPr>
          <w:t>https://www.latimes.com/homeless-housing/story/2024-07-24/invitation-homes-to-pay-nearly-20-million-to-settle-unpermitted-renovations-lawsuit-in-california</w:t>
        </w:r>
      </w:hyperlink>
      <w:r>
        <w:t xml:space="preserve"> - Supports the claim that Invitation Homes did not admit wrongdoing and the settlement's impact on the company's operations.</w:t>
      </w:r>
      <w:r/>
    </w:p>
    <w:p>
      <w:pPr>
        <w:pStyle w:val="ListNumber"/>
        <w:spacing w:line="240" w:lineRule="auto"/>
        <w:ind w:left="720"/>
      </w:pPr>
      <w:r/>
      <w:hyperlink r:id="rId10">
        <w:r>
          <w:rPr>
            <w:color w:val="0000EE"/>
            <w:u w:val="single"/>
          </w:rPr>
          <w:t>https://laist.com/brief/news/housing-homelessness/invitation-homes-settlement-20-million-california-los-angeles-southern-lawsuit-unpermitted-renovations</w:t>
        </w:r>
      </w:hyperlink>
      <w:r>
        <w:t xml:space="preserve"> - Details the discovery process and the types of renovations that were allegedly done without permits.</w:t>
      </w:r>
      <w:r/>
    </w:p>
    <w:p>
      <w:pPr>
        <w:pStyle w:val="ListNumber"/>
        <w:spacing w:line="240" w:lineRule="auto"/>
        <w:ind w:left="720"/>
      </w:pPr>
      <w:r/>
      <w:hyperlink r:id="rId13">
        <w:r>
          <w:rPr>
            <w:color w:val="0000EE"/>
            <w:u w:val="single"/>
          </w:rPr>
          <w:t>https://www.bisnow.com/los-angeles/news/single-family-rentals/invitation-homes-settlement-permits-inspections-125187</w:t>
        </w:r>
      </w:hyperlink>
      <w:r>
        <w:t xml:space="preserve"> - Explains the role of Blackbird Special Projects and its use of proprietary technology to identify unpermitted renovations.</w:t>
      </w:r>
      <w:r/>
    </w:p>
    <w:p>
      <w:pPr>
        <w:pStyle w:val="ListNumber"/>
        <w:spacing w:line="240" w:lineRule="auto"/>
        <w:ind w:left="720"/>
      </w:pPr>
      <w:r/>
      <w:hyperlink r:id="rId12">
        <w:r>
          <w:rPr>
            <w:color w:val="0000EE"/>
            <w:u w:val="single"/>
          </w:rPr>
          <w:t>https://www.latimes.com/homeless-housing/story/2024-07-24/invitation-homes-to-pay-nearly-20-million-to-settle-unpermitted-renovations-lawsuit-in-california</w:t>
        </w:r>
      </w:hyperlink>
      <w:r>
        <w:t xml:space="preserve"> - Corroborates the financial implications for cities and the safety risks to tenants due to unpermitted renovations.</w:t>
      </w:r>
      <w:r/>
    </w:p>
    <w:p>
      <w:pPr>
        <w:pStyle w:val="ListNumber"/>
        <w:spacing w:line="240" w:lineRule="auto"/>
        <w:ind w:left="720"/>
      </w:pPr>
      <w:r/>
      <w:hyperlink r:id="rId11">
        <w:r>
          <w:rPr>
            <w:color w:val="0000EE"/>
            <w:u w:val="single"/>
          </w:rPr>
          <w:t>https://laist.com/news/housing-homelessness/invitation-homes-settlement-20-million-california-los-angeles-southern-lawsuit-unpermitted-renovations</w:t>
        </w:r>
      </w:hyperlink>
      <w:r>
        <w:t xml:space="preserve"> - Details the previous legal troubles of Invitation Homes, including a settlement over illegal rent increases.</w:t>
      </w:r>
      <w:r/>
    </w:p>
    <w:p>
      <w:pPr>
        <w:pStyle w:val="ListNumber"/>
        <w:spacing w:line="240" w:lineRule="auto"/>
        <w:ind w:left="720"/>
      </w:pPr>
      <w:r/>
      <w:hyperlink r:id="rId13">
        <w:r>
          <w:rPr>
            <w:color w:val="0000EE"/>
            <w:u w:val="single"/>
          </w:rPr>
          <w:t>https://www.bisnow.com/los-angeles/news/single-family-rentals/invitation-homes-settlement-permits-inspections-125187</w:t>
        </w:r>
      </w:hyperlink>
      <w:r>
        <w:t xml:space="preserve"> - Supports the claim that the settlement is subject to court approval and the distribution of the settlement amount among various parties.</w:t>
      </w:r>
      <w:r/>
    </w:p>
    <w:p>
      <w:pPr>
        <w:pStyle w:val="ListNumber"/>
        <w:spacing w:line="240" w:lineRule="auto"/>
        <w:ind w:left="720"/>
      </w:pPr>
      <w:r/>
      <w:hyperlink r:id="rId12">
        <w:r>
          <w:rPr>
            <w:color w:val="0000EE"/>
            <w:u w:val="single"/>
          </w:rPr>
          <w:t>https://www.latimes.com/homeless-housing/story/2024-07-24/invitation-homes-to-pay-nearly-20-million-to-settle-unpermitted-renovations-lawsuit-in-california</w:t>
        </w:r>
      </w:hyperlink>
      <w:r>
        <w:t xml:space="preserve"> - Corroborates the legal framework and the implications of the case for future use of AI in legal claims.</w:t>
      </w:r>
      <w:r/>
    </w:p>
    <w:p>
      <w:pPr>
        <w:pStyle w:val="ListNumber"/>
        <w:spacing w:line="240" w:lineRule="auto"/>
        <w:ind w:left="720"/>
      </w:pPr>
      <w:r/>
      <w:hyperlink r:id="rId14">
        <w:r>
          <w:rPr>
            <w:color w:val="0000EE"/>
            <w:u w:val="single"/>
          </w:rPr>
          <w:t>https://www.jdsupra.com/legalnews/into-the-ai-future-what-a-relator-s-use-5740353/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aist.com/brief/news/housing-homelessness/invitation-homes-settlement-20-million-california-los-angeles-southern-lawsuit-unpermitted-renovations" TargetMode="External"/><Relationship Id="rId11" Type="http://schemas.openxmlformats.org/officeDocument/2006/relationships/hyperlink" Target="https://laist.com/news/housing-homelessness/invitation-homes-settlement-20-million-california-los-angeles-southern-lawsuit-unpermitted-renovations" TargetMode="External"/><Relationship Id="rId12" Type="http://schemas.openxmlformats.org/officeDocument/2006/relationships/hyperlink" Target="https://www.latimes.com/homeless-housing/story/2024-07-24/invitation-homes-to-pay-nearly-20-million-to-settle-unpermitted-renovations-lawsuit-in-california" TargetMode="External"/><Relationship Id="rId13" Type="http://schemas.openxmlformats.org/officeDocument/2006/relationships/hyperlink" Target="https://www.bisnow.com/los-angeles/news/single-family-rentals/invitation-homes-settlement-permits-inspections-125187" TargetMode="External"/><Relationship Id="rId14" Type="http://schemas.openxmlformats.org/officeDocument/2006/relationships/hyperlink" Target="https://www.jdsupra.com/legalnews/into-the-ai-future-what-a-relator-s-use-57403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