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AI and intellectual property in biotechnology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biotechnology, companies increasingly rely on artificial intelligence (AI) to aid in research and development. With AI's integration into these processes, significant considerations arise regarding the protection of intellectual property. Recent guidance from the U.S. Patent and Trademark Office (PTO) addresses these concerns, offering crucial insights into how AI-supported innovations can achieve patentable status.</w:t>
      </w:r>
      <w:r/>
    </w:p>
    <w:p>
      <w:r/>
      <w:r>
        <w:t>According to this guidance, a fundamental principle is the necessity of human involvement in any claimed invention. While AI can assist extensively in the research process, it cannot be designated as an inventor on a patent application. Human inventorship remains a requirement, underscoring the importance of human contribution in conceptualising inventions. This policy sets a clear framework for biotech companies using AI, where human inventors must identify specific problems and develop particular solutions, thereby establishing an inventive foundation for the resulting innovations.</w:t>
      </w:r>
      <w:r/>
    </w:p>
    <w:p>
      <w:r/>
      <w:r>
        <w:t>One illustrative example is a hypothetical scenario involving AI in drug discovery. If AI tools are employed to identify cell types or classify cell markers, the process must begin with human-derived parameters and decisions. Humans must take the lead in framing research directives, such as choosing which class of compounds to investigate, thus ensuring that the invention is attributed to human creativity and intent.</w:t>
      </w:r>
      <w:r/>
    </w:p>
    <w:p>
      <w:r/>
      <w:r>
        <w:t>The PTO's guidance also advises biotech firms to include their patent lawyers early in the AI development cycle. This inclusion is vital for tracking inventive contributions, ensuring that human decision-makers have made substantial contributions to key elements of patent claims. The intricacies of determining inventorship can necessitate the participation of individuals who design or refine AI systems, who may be considered inventors if their contributions meet significant thresholds.</w:t>
      </w:r>
      <w:r/>
    </w:p>
    <w:p>
      <w:r/>
      <w:r>
        <w:t>Additionally, companies must be cautious when working with third-party AI vendors. Contracts should ensure that intellectual property rights are appropriately assigned and managed, with provisions for vendors to supply necessary documentation to support patent claims. This precaution helps to safeguard against potential challenges to inventorship and patent validity.</w:t>
      </w:r>
      <w:r/>
    </w:p>
    <w:p>
      <w:r/>
      <w:r>
        <w:t>Communication plays a critical role in this landscape. Biotech companies are advised to emphasise human involvement in their AI processes in both public disclosures and communications with the PTO. Consistent articulation of the role played by humans in guiding AI innovations could influence the interpretation of inventorship in patent applications.</w:t>
      </w:r>
      <w:r/>
    </w:p>
    <w:p>
      <w:r/>
      <w:r>
        <w:t>The PTO highlights the potential for subject-matter eligibility challenges concerning AI-derived inventions. Innovations must be more than abstract ideas or natural phenomena, requiring a tangible technological improvement to secure a patent. To illustrate, the PTO provides examples of AI-driven claims, such as a model used to predict medical outcomes, where eligibility hinges on specific, actionable elements that improve existing methodologies.</w:t>
      </w:r>
      <w:r/>
    </w:p>
    <w:p>
      <w:r/>
      <w:r>
        <w:t>This guidance underscores the importance of including detailed and specific claim limitations. For instance, a claim related to AI analysing glaucoma surgery patients would be considered more robust if it specifies unique treatments informed by AI-determined risk assessments. This ensures that innovations align with the PTO’s criteria for patent eligibility, reinforcing the role of human insight in the application of AI findings.</w:t>
      </w:r>
      <w:r/>
    </w:p>
    <w:p>
      <w:r/>
      <w:r>
        <w:t>In essence, these guidelines serve as a roadmap for biotech firms leveraging AI, ensuring that their innovations are eligible for the same legal protections as traditionally conceived inventions. By embedding human judgement at every stage of AI development, from problem identification to solution implementation, companies can navigate the complex intersection of AI and intellectual property law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https://teselagen.com/blog/ai-to-accelerate-biotech-product-development/</w:t>
        </w:r>
      </w:hyperlink>
      <w:r>
        <w:t xml:space="preserve"> - Corroborates the extensive use of AI in biotech for drug discovery, vaccine development, and the importance of human involvement in guiding AI processes.</w:t>
      </w:r>
      <w:r/>
    </w:p>
    <w:p>
      <w:pPr>
        <w:pStyle w:val="ListNumber"/>
        <w:spacing w:line="240" w:lineRule="auto"/>
        <w:ind w:left="720"/>
      </w:pPr>
      <w:r/>
      <w:hyperlink r:id="rId11">
        <w:r>
          <w:rPr>
            <w:color w:val="0000EE"/>
            <w:u w:val="single"/>
          </w:rPr>
          <w:t>https://www.elabnext.com/blog/benefits-drawbacks-of-generative-ai-in-biotech</w:t>
        </w:r>
      </w:hyperlink>
      <w:r>
        <w:t xml:space="preserve"> - Supports the role of generative AI in drug discovery, protein design, and the need for human input in interpreting AI results and developing actionable hypotheses.</w:t>
      </w:r>
      <w:r/>
    </w:p>
    <w:p>
      <w:pPr>
        <w:pStyle w:val="ListNumber"/>
        <w:spacing w:line="240" w:lineRule="auto"/>
        <w:ind w:left="720"/>
      </w:pPr>
      <w:r/>
      <w:hyperlink r:id="rId12">
        <w:r>
          <w:rPr>
            <w:color w:val="0000EE"/>
            <w:u w:val="single"/>
          </w:rPr>
          <w:t>https://lizard.bio/knowledge-hub/ai-in-biotech-fashioning-the-future-of-rd-and-ip</w:t>
        </w:r>
      </w:hyperlink>
      <w:r>
        <w:t xml:space="preserve"> - Highlights the importance of human-computer collaboration, data readiness, and intellectual property protection strategies for AI-driven biotech innovations.</w:t>
      </w:r>
      <w:r/>
    </w:p>
    <w:p>
      <w:pPr>
        <w:pStyle w:val="ListNumber"/>
        <w:spacing w:line="240" w:lineRule="auto"/>
        <w:ind w:left="720"/>
      </w:pPr>
      <w:r/>
      <w:hyperlink r:id="rId13">
        <w:r>
          <w:rPr>
            <w:color w:val="0000EE"/>
            <w:u w:val="single"/>
          </w:rPr>
          <w:t>https://globalizationandhealth.biomedcentral.com/articles/10.1186/s12992-024-01049-5</w:t>
        </w:r>
      </w:hyperlink>
      <w:r>
        <w:t xml:space="preserve"> - Discusses the integration of AI in biomedical research, the automation of laboratory tasks, and the need for human input in scientific discovery and hypothesis testing.</w:t>
      </w:r>
      <w:r/>
    </w:p>
    <w:p>
      <w:pPr>
        <w:pStyle w:val="ListNumber"/>
        <w:spacing w:line="240" w:lineRule="auto"/>
        <w:ind w:left="720"/>
      </w:pPr>
      <w:r/>
      <w:hyperlink r:id="rId14">
        <w:r>
          <w:rPr>
            <w:color w:val="0000EE"/>
            <w:u w:val="single"/>
          </w:rPr>
          <w:t>https://www.morganstanley.com/ideas/ai-drug-discovery</w:t>
        </w:r>
      </w:hyperlink>
      <w:r>
        <w:t xml:space="preserve"> - Illustrates the potential of AI in drug development, including the role of human judgement in guiding AI tools and the economic impact of AI-driven innovations.</w:t>
      </w:r>
      <w:r/>
    </w:p>
    <w:p>
      <w:pPr>
        <w:pStyle w:val="ListNumber"/>
        <w:spacing w:line="240" w:lineRule="auto"/>
        <w:ind w:left="720"/>
      </w:pPr>
      <w:r/>
      <w:hyperlink r:id="rId15">
        <w:r>
          <w:rPr>
            <w:color w:val="0000EE"/>
            <w:u w:val="single"/>
          </w:rPr>
          <w:t>https://www.fda.gov/media/167973/download</w:t>
        </w:r>
      </w:hyperlink>
      <w:r>
        <w:t xml:space="preserve"> - Provides context on the FDA's discussion paper regarding the use of AI and machine learning in drug and biological product development, emphasizing human involvement.</w:t>
      </w:r>
      <w:r/>
    </w:p>
    <w:p>
      <w:pPr>
        <w:pStyle w:val="ListNumber"/>
        <w:spacing w:line="240" w:lineRule="auto"/>
        <w:ind w:left="720"/>
      </w:pPr>
      <w:r/>
      <w:hyperlink r:id="rId16">
        <w:r>
          <w:rPr>
            <w:color w:val="0000EE"/>
            <w:u w:val="single"/>
          </w:rPr>
          <w:t>https://www.uspto.gov/patents-getting-started/general-information-concerning-patents#inventor</w:t>
        </w:r>
      </w:hyperlink>
      <w:r>
        <w:t xml:space="preserve"> - Outlines the USPTO's general guidelines on inventorship, which require human involvement in patent applications, even when AI is used in the research process.</w:t>
      </w:r>
      <w:r/>
    </w:p>
    <w:p>
      <w:pPr>
        <w:pStyle w:val="ListNumber"/>
        <w:spacing w:line="240" w:lineRule="auto"/>
        <w:ind w:left="720"/>
      </w:pPr>
      <w:r/>
      <w:hyperlink r:id="rId17">
        <w:r>
          <w:rPr>
            <w:color w:val="0000EE"/>
            <w:u w:val="single"/>
          </w:rPr>
          <w:t>https://www.uspto.gov/patents-getting-started/patent-basics/types-patent-applications/model-invention-patents</w:t>
        </w:r>
      </w:hyperlink>
      <w:r>
        <w:t xml:space="preserve"> - Explains the criteria for subject-matter eligibility of inventions, including the need for tangible technological improvements beyond abstract ideas or natural phenomena.</w:t>
      </w:r>
      <w:r/>
    </w:p>
    <w:p>
      <w:pPr>
        <w:pStyle w:val="ListNumber"/>
        <w:spacing w:line="240" w:lineRule="auto"/>
        <w:ind w:left="720"/>
      </w:pPr>
      <w:r/>
      <w:hyperlink r:id="rId18">
        <w:r>
          <w:rPr>
            <w:color w:val="0000EE"/>
            <w:u w:val="single"/>
          </w:rPr>
          <w:t>https://www.uspto.gov/patents-getting-started/patent-basics/process-overview</w:t>
        </w:r>
      </w:hyperlink>
      <w:r>
        <w:t xml:space="preserve"> - Details the patent application process, emphasizing the importance of clear and specific claim limitations to ensure patent eligibility.</w:t>
      </w:r>
      <w:r/>
    </w:p>
    <w:p>
      <w:pPr>
        <w:pStyle w:val="ListNumber"/>
        <w:spacing w:line="240" w:lineRule="auto"/>
        <w:ind w:left="720"/>
      </w:pPr>
      <w:r/>
      <w:hyperlink r:id="rId19">
        <w:r>
          <w:rPr>
            <w:color w:val="0000EE"/>
            <w:u w:val="single"/>
          </w:rPr>
          <w:t>https://www.gevers.eu/en/news-events/news/protecting-ai-inventions</w:t>
        </w:r>
      </w:hyperlink>
      <w:r>
        <w:t xml:space="preserve"> - Provides insights into protecting AI-supported innovations through patents and trade secrets, highlighting the role of human inventors and the importance of early involvement of patent lawyers.</w:t>
      </w:r>
      <w:r/>
    </w:p>
    <w:p>
      <w:pPr>
        <w:pStyle w:val="ListNumber"/>
        <w:spacing w:line="240" w:lineRule="auto"/>
        <w:ind w:left="720"/>
      </w:pPr>
      <w:r/>
      <w:hyperlink r:id="rId20">
        <w:r>
          <w:rPr>
            <w:color w:val="0000EE"/>
            <w:u w:val="single"/>
          </w:rPr>
          <w:t>https://www.jdsupra.com/legalnews/developing-and-patenting-ai-inventions-1441297/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selagen.com/blog/ai-to-accelerate-biotech-product-development/" TargetMode="External"/><Relationship Id="rId11" Type="http://schemas.openxmlformats.org/officeDocument/2006/relationships/hyperlink" Target="https://www.elabnext.com/blog/benefits-drawbacks-of-generative-ai-in-biotech" TargetMode="External"/><Relationship Id="rId12" Type="http://schemas.openxmlformats.org/officeDocument/2006/relationships/hyperlink" Target="https://lizard.bio/knowledge-hub/ai-in-biotech-fashioning-the-future-of-rd-and-ip" TargetMode="External"/><Relationship Id="rId13" Type="http://schemas.openxmlformats.org/officeDocument/2006/relationships/hyperlink" Target="https://globalizationandhealth.biomedcentral.com/articles/10.1186/s12992-024-01049-5" TargetMode="External"/><Relationship Id="rId14" Type="http://schemas.openxmlformats.org/officeDocument/2006/relationships/hyperlink" Target="https://www.morganstanley.com/ideas/ai-drug-discovery" TargetMode="External"/><Relationship Id="rId15" Type="http://schemas.openxmlformats.org/officeDocument/2006/relationships/hyperlink" Target="https://www.fda.gov/media/167973/download" TargetMode="External"/><Relationship Id="rId16" Type="http://schemas.openxmlformats.org/officeDocument/2006/relationships/hyperlink" Target="https://www.uspto.gov/patents-getting-started/general-information-concerning-patents#inventor" TargetMode="External"/><Relationship Id="rId17" Type="http://schemas.openxmlformats.org/officeDocument/2006/relationships/hyperlink" Target="https://www.uspto.gov/patents-getting-started/patent-basics/types-patent-applications/model-invention-patents" TargetMode="External"/><Relationship Id="rId18" Type="http://schemas.openxmlformats.org/officeDocument/2006/relationships/hyperlink" Target="https://www.uspto.gov/patents-getting-started/patent-basics/process-overview" TargetMode="External"/><Relationship Id="rId19" Type="http://schemas.openxmlformats.org/officeDocument/2006/relationships/hyperlink" Target="https://www.gevers.eu/en/news-events/news/protecting-ai-inventions" TargetMode="External"/><Relationship Id="rId20" Type="http://schemas.openxmlformats.org/officeDocument/2006/relationships/hyperlink" Target="https://www.jdsupra.com/legalnews/developing-and-patenting-ai-inventions-14412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