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Chartered Accountants raise concerns over AI regulations in Australia and New Zealand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Chartered Accountants Raise Concerns Over AI Regulations in Australia and New Zealand</w:t>
      </w:r>
      <w:r/>
    </w:p>
    <w:p>
      <w:r/>
      <w:r>
        <w:t>The Chartered Accountants Australia and New Zealand (CA ANZ) has expressed reservations concerning the Australian government's proposed mandatory regulations for artificial intelligence (AI) systems considered high-risk. In an official submission, CA ANZ highlighted ambiguities surrounding the classification of high-risk AI systems, sparking uncertainty among accountants about whether AI tools used for data analysis might fall into this category.</w:t>
      </w:r>
      <w:r/>
    </w:p>
    <w:p>
      <w:r/>
      <w:r>
        <w:t>The organisation articulated the prevalent usage of AI by practitioners in servicing clients but cautioned that such applications usually don't align with what might be designated as high-risk under the government's framework. CA ANZ has advocated for more explicit guidance, coupled with illustrative examples, to aid in discerning the risk levels associated with various AI systems. The institution has pointed out the lack of consistent interpretation among its members regarding whether all general-purpose AI systems should automatically be deemed high-risk.</w:t>
      </w:r>
      <w:r/>
    </w:p>
    <w:p>
      <w:r/>
      <w:r>
        <w:t>In an ongoing engagement with members and stakeholders, CA ANZ seeks a balanced, comprehensible regulatory approach. The aim is to ensure that AI guardrails for high-risk systems are not only clear but enforceable, thereby fostering an environment where technological advancements can be safely integrated into professional services.</w:t>
      </w:r>
      <w:r/>
    </w:p>
    <w:p>
      <w:pPr>
        <w:pStyle w:val="Heading3"/>
      </w:pPr>
      <w:r>
        <w:t>Applied Nutrition Sets Sights on Major IPO Valuation</w:t>
      </w:r>
      <w:r/>
    </w:p>
    <w:p>
      <w:r/>
      <w:r>
        <w:t>Liverpool-based sports nutrition company Applied Nutrition has announced price ranges for its anticipated initial public offering (IPO), aiming for a market valuation of up to £400 million. Backed by JD Sports, the company will offer approximately 137.4 million shares priced between 136 and 160 pence in its filing with the London Stock Exchange.</w:t>
      </w:r>
      <w:r/>
    </w:p>
    <w:p>
      <w:r/>
      <w:r>
        <w:t>Since its inception in 2014 by founder and CEO Thomas Ryder, Applied Nutrition has experienced significant growth. The company offers a variety of products, including protein powders, bars, and beverages, and conducts business in over 60 countries. Its financial results underscore this expansion, with £86.1 million in revenue for the year ending July 2024, reflecting a sharp increase from the previous year.</w:t>
      </w:r>
      <w:r/>
    </w:p>
    <w:p>
      <w:r/>
      <w:r>
        <w:t>The IPO seeks to bolster the company's growth plans, enhancing its public profile and brand awareness. The offer, exclusive to UK investors, closes on 23 October. Among the investors is billionaire Mohsin Issa, known for co-founding the EG Group and acquiring the supermarket chain Asda.</w:t>
      </w:r>
      <w:r/>
    </w:p>
    <w:p>
      <w:pPr>
        <w:pStyle w:val="Heading3"/>
      </w:pPr>
      <w:r>
        <w:t>Composable Stickers Initiative Gains Traction in Canada</w:t>
      </w:r>
      <w:r/>
    </w:p>
    <w:p>
      <w:r/>
      <w:r>
        <w:t>In a collaborative effort to address waste management challenges, the Canadian Produce Marketing Association (CPMA) and composting organisations, including the Compost Council of Canada, have reached an agreement to transition to certified compostable Price Look-Up (PLU) stickers. These stickers are used on fruits and vegetables, and the initiative aims to finalise an action plan by late 2024.</w:t>
      </w:r>
      <w:r/>
    </w:p>
    <w:p>
      <w:r/>
      <w:r>
        <w:t>The current non-compostable PLU stickers disrupt organics recycling processes, often ending up in landfills or incineration. The initiative seeks to establish a global standard in line with international compost standards, with plans to introduce these stickers next year. This shift is seen as essential to minimizing food waste and ensuring organic materials are effectively recycled.</w:t>
      </w:r>
      <w:r/>
    </w:p>
    <w:p>
      <w:pPr>
        <w:pStyle w:val="Heading3"/>
      </w:pPr>
      <w:r>
        <w:t>Trident Seafoods Continues Strategic Asset Divestment</w:t>
      </w:r>
      <w:r/>
    </w:p>
    <w:p>
      <w:r/>
      <w:r>
        <w:t>Trident Seafoods is progressing with its asset sale strategy, with Pacific Seafood set to acquire Trident's Kodiak processing facility in Alaska. This move follows Trident's prior sales of other Alaskan facilities, part of a broader restructuring announced in late 2023.</w:t>
      </w:r>
      <w:r/>
    </w:p>
    <w:p>
      <w:r/>
      <w:r>
        <w:t>The Kodiak facility handles a diverse array of seafood, including halibut, crab, and salmon. The transition, involving diligence processes, is anticipated to conclude by the next month. Pacific Seafood's President and CEO, Frank Dulcich, has expressed enthusiasm for the opportunity to expand operations and access diverse distribution channels. Trident's CEO, Joe Bundrant, has assured that the transition is a handover rather than a shutdown, committing to a seamless transition with Pacific Seafood overseeing future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https://www.theaccountant-online.com/news/ca-anz-mandatory-ai-guardrails/</w:t>
        </w:r>
      </w:hyperlink>
      <w:r>
        <w:t xml:space="preserve"> - Corroborates CA ANZ's concerns about the Australian government's proposed mandatory AI guardrails and the ambiguity surrounding the classification of high-risk AI systems.</w:t>
      </w:r>
      <w:r/>
    </w:p>
    <w:p>
      <w:pPr>
        <w:pStyle w:val="ListNumber"/>
        <w:spacing w:line="240" w:lineRule="auto"/>
        <w:ind w:left="720"/>
      </w:pPr>
      <w:r/>
      <w:hyperlink r:id="rId11">
        <w:r>
          <w:rPr>
            <w:color w:val="0000EE"/>
            <w:u w:val="single"/>
          </w:rPr>
          <w:t>https://www.charteredaccountantsanz.com/news-and-analysis/advocacy/policy-submissions/submission-to-proposed-ai-guardrails</w:t>
        </w:r>
      </w:hyperlink>
      <w:r>
        <w:t xml:space="preserve"> - Supports CA ANZ's official submission highlighting the need for clearer guidance and illustrative examples to discern risk levels associated with various AI systems.</w:t>
      </w:r>
      <w:r/>
    </w:p>
    <w:p>
      <w:pPr>
        <w:pStyle w:val="ListNumber"/>
        <w:spacing w:line="240" w:lineRule="auto"/>
        <w:ind w:left="720"/>
      </w:pPr>
      <w:r/>
      <w:hyperlink r:id="rId12">
        <w:r>
          <w:rPr>
            <w:color w:val="0000EE"/>
            <w:u w:val="single"/>
          </w:rPr>
          <w:t>https://www.charteredaccountantsanz.com/news-and-analysis/advocacy/policy-submissions/safe-and-responsible-ai</w:t>
        </w:r>
      </w:hyperlink>
      <w:r>
        <w:t xml:space="preserve"> - Details CA ANZ's advocacy for a balanced and comprehensible regulatory approach to AI, ensuring guardrails are clear and enforceable.</w:t>
      </w:r>
      <w:r/>
    </w:p>
    <w:p>
      <w:pPr>
        <w:pStyle w:val="ListNumber"/>
        <w:spacing w:line="240" w:lineRule="auto"/>
        <w:ind w:left="720"/>
      </w:pPr>
      <w:r/>
      <w:hyperlink r:id="rId13">
        <w:r>
          <w:rPr>
            <w:color w:val="0000EE"/>
            <w:u w:val="single"/>
          </w:rPr>
          <w:t>https://www.charteredaccountantsanz.com/tools-and-resources/practice-management/ethics-in-practice/ethics-for-sustainable-ai-adoption</w:t>
        </w:r>
      </w:hyperlink>
      <w:r>
        <w:t xml:space="preserve"> - Provides context on CA ANZ's focus on ethical and sustainable AI adoption, which aligns with their concerns about AI regulations.</w:t>
      </w:r>
      <w:r/>
    </w:p>
    <w:p>
      <w:pPr>
        <w:pStyle w:val="ListNumber"/>
        <w:spacing w:line="240" w:lineRule="auto"/>
        <w:ind w:left="720"/>
      </w:pPr>
      <w:r/>
      <w:hyperlink r:id="rId14">
        <w:r>
          <w:rPr>
            <w:color w:val="0000EE"/>
            <w:u w:val="single"/>
          </w:rPr>
          <w:t>https://charteredaccountantsworldwide.com/new-ai-standards-hub-launched/</w:t>
        </w:r>
      </w:hyperlink>
      <w:r>
        <w:t xml:space="preserve"> - Mentions the AI Standards Hub, which is relevant to the broader discussion on shaping AI standards and governance, a concern raised by CA ANZ.</w:t>
      </w:r>
      <w:r/>
    </w:p>
    <w:p>
      <w:pPr>
        <w:pStyle w:val="ListNumber"/>
        <w:spacing w:line="240" w:lineRule="auto"/>
        <w:ind w:left="720"/>
      </w:pPr>
      <w:r/>
      <w:hyperlink r:id="rId12">
        <w:r>
          <w:rPr>
            <w:color w:val="0000EE"/>
            <w:u w:val="single"/>
          </w:rPr>
          <w:t>https://www.charteredaccountantsanz.com/news-and-analysis/advocacy/policy-submissions/safe-and-responsible-ai</w:t>
        </w:r>
      </w:hyperlink>
      <w:r>
        <w:t xml:space="preserve"> - Highlights CA ANZ's proposal for risk-based regulation to balance protecting consumers and supporting innovation in AI.</w:t>
      </w:r>
      <w:r/>
    </w:p>
    <w:p>
      <w:pPr>
        <w:pStyle w:val="ListNumber"/>
        <w:spacing w:line="240" w:lineRule="auto"/>
        <w:ind w:left="720"/>
      </w:pPr>
      <w:r/>
      <w:hyperlink r:id="rId11">
        <w:r>
          <w:rPr>
            <w:color w:val="0000EE"/>
            <w:u w:val="single"/>
          </w:rPr>
          <w:t>https://www.charteredaccountantsanz.com/news-and-analysis/advocacy/policy-submissions/submission-to-proposed-ai-guardrails</w:t>
        </w:r>
      </w:hyperlink>
      <w:r>
        <w:t xml:space="preserve"> - Supports CA ANZ's recommendation for a delayed implementation of mandatory AI guardrails to allow for a voluntary standard period.</w:t>
      </w:r>
      <w:r/>
    </w:p>
    <w:p>
      <w:pPr>
        <w:pStyle w:val="ListNumber"/>
        <w:spacing w:line="240" w:lineRule="auto"/>
        <w:ind w:left="720"/>
      </w:pPr>
      <w:r/>
      <w:hyperlink r:id="rId10">
        <w:r>
          <w:rPr>
            <w:color w:val="0000EE"/>
            <w:u w:val="single"/>
          </w:rPr>
          <w:t>https://www.theaccountant-online.com/news/ca-anz-mandatory-ai-guardrails/</w:t>
        </w:r>
      </w:hyperlink>
      <w:r>
        <w:t xml:space="preserve"> - Reiterates CA ANZ's concerns about the lack of consistent interpretation among members regarding high-risk AI systems.</w:t>
      </w:r>
      <w:r/>
    </w:p>
    <w:p>
      <w:pPr>
        <w:pStyle w:val="ListNumber"/>
        <w:spacing w:line="240" w:lineRule="auto"/>
        <w:ind w:left="720"/>
      </w:pPr>
      <w:r/>
      <w:hyperlink r:id="rId12">
        <w:r>
          <w:rPr>
            <w:color w:val="0000EE"/>
            <w:u w:val="single"/>
          </w:rPr>
          <w:t>https://www.charteredaccountantsanz.com/news-and-analysis/advocacy/policy-submissions/safe-and-responsible-ai</w:t>
        </w:r>
      </w:hyperlink>
      <w:r>
        <w:t xml:space="preserve"> - Emphasizes the importance of human oversight and employee literacy in the safe and responsible use of AI, a point raised in CA ANZ's advocacy.</w:t>
      </w:r>
      <w:r/>
    </w:p>
    <w:p>
      <w:pPr>
        <w:pStyle w:val="ListNumber"/>
        <w:spacing w:line="240" w:lineRule="auto"/>
        <w:ind w:left="720"/>
      </w:pPr>
      <w:r/>
      <w:hyperlink r:id="rId11">
        <w:r>
          <w:rPr>
            <w:color w:val="0000EE"/>
            <w:u w:val="single"/>
          </w:rPr>
          <w:t>https://www.charteredaccountantsanz.com/news-and-analysis/advocacy/policy-submissions/submission-to-proposed-ai-guardrails</w:t>
        </w:r>
      </w:hyperlink>
      <w:r>
        <w:t xml:space="preserve"> - Corroborates CA ANZ's ongoing engagement with members and stakeholders to achieve a balanced regulatory approach for AI.</w:t>
      </w:r>
      <w:r/>
    </w:p>
    <w:p>
      <w:pPr>
        <w:pStyle w:val="ListNumber"/>
        <w:spacing w:line="240" w:lineRule="auto"/>
        <w:ind w:left="720"/>
      </w:pPr>
      <w:r/>
      <w:hyperlink r:id="rId10">
        <w:r>
          <w:rPr>
            <w:color w:val="0000EE"/>
            <w:u w:val="single"/>
          </w:rPr>
          <w:t>https://www.theaccountant-online.com/news/ca-anz-mandatory-ai-guardrails/</w:t>
        </w:r>
      </w:hyperlink>
      <w:r>
        <w:t xml:space="preserve"> - Please view link - unable to able to access data</w:t>
      </w:r>
      <w:r/>
    </w:p>
    <w:p>
      <w:pPr>
        <w:pStyle w:val="ListNumber"/>
        <w:spacing w:line="240" w:lineRule="auto"/>
        <w:ind w:left="720"/>
      </w:pPr>
      <w:r/>
      <w:hyperlink r:id="rId15">
        <w:r>
          <w:rPr>
            <w:color w:val="0000EE"/>
            <w:u w:val="single"/>
          </w:rPr>
          <w:t>https://www.just-food.com/news/applied-nutrition-ipo-pricing-maximum-market-cap-of-400m/</w:t>
        </w:r>
      </w:hyperlink>
      <w:r>
        <w:t xml:space="preserve"> - Please view link - unable to able to access data</w:t>
      </w:r>
      <w:r/>
    </w:p>
    <w:p>
      <w:pPr>
        <w:pStyle w:val="ListNumber"/>
        <w:spacing w:line="240" w:lineRule="auto"/>
        <w:ind w:left="720"/>
      </w:pPr>
      <w:r/>
      <w:hyperlink r:id="rId16">
        <w:r>
          <w:rPr>
            <w:color w:val="0000EE"/>
            <w:u w:val="single"/>
          </w:rPr>
          <w:t>https://www.just-food.com/news/fresh-produce-standard-for-compostable-stickers/</w:t>
        </w:r>
      </w:hyperlink>
      <w:r>
        <w:t xml:space="preserve"> - Please view link - unable to able to access data</w:t>
      </w:r>
      <w:r/>
    </w:p>
    <w:p>
      <w:pPr>
        <w:pStyle w:val="ListNumber"/>
        <w:spacing w:line="240" w:lineRule="auto"/>
        <w:ind w:left="720"/>
      </w:pPr>
      <w:r/>
      <w:hyperlink r:id="rId17">
        <w:r>
          <w:rPr>
            <w:color w:val="0000EE"/>
            <w:u w:val="single"/>
          </w:rPr>
          <w:t>https://www.just-food.com/news/pacific-take-over-trident-kodiak-operations/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accountant-online.com/news/ca-anz-mandatory-ai-guardrails/" TargetMode="External"/><Relationship Id="rId11" Type="http://schemas.openxmlformats.org/officeDocument/2006/relationships/hyperlink" Target="https://www.charteredaccountantsanz.com/news-and-analysis/advocacy/policy-submissions/submission-to-proposed-ai-guardrails" TargetMode="External"/><Relationship Id="rId12" Type="http://schemas.openxmlformats.org/officeDocument/2006/relationships/hyperlink" Target="https://www.charteredaccountantsanz.com/news-and-analysis/advocacy/policy-submissions/safe-and-responsible-ai" TargetMode="External"/><Relationship Id="rId13" Type="http://schemas.openxmlformats.org/officeDocument/2006/relationships/hyperlink" Target="https://www.charteredaccountantsanz.com/tools-and-resources/practice-management/ethics-in-practice/ethics-for-sustainable-ai-adoption" TargetMode="External"/><Relationship Id="rId14" Type="http://schemas.openxmlformats.org/officeDocument/2006/relationships/hyperlink" Target="https://charteredaccountantsworldwide.com/new-ai-standards-hub-launched/" TargetMode="External"/><Relationship Id="rId15" Type="http://schemas.openxmlformats.org/officeDocument/2006/relationships/hyperlink" Target="https://www.just-food.com/news/applied-nutrition-ipo-pricing-maximum-market-cap-of-400m/" TargetMode="External"/><Relationship Id="rId16" Type="http://schemas.openxmlformats.org/officeDocument/2006/relationships/hyperlink" Target="https://www.just-food.com/news/fresh-produce-standard-for-compostable-stickers/" TargetMode="External"/><Relationship Id="rId17" Type="http://schemas.openxmlformats.org/officeDocument/2006/relationships/hyperlink" Target="https://www.just-food.com/news/pacific-take-over-trident-kodiak-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