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California enacts AB 3030 to enhance transparency in health communications using AI</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significant move towards enhancing transparency in the healthcare sector, California Governor Gavin Newsom signed AB 3030 into law in September 2024. This legislation, set to take effect on January 1, 2025, is part of a broader suite of AI-related bills aimed at establishing a robust regulatory framework for artificial intelligence in the state.</w:t>
      </w:r>
      <w:r/>
    </w:p>
    <w:p>
      <w:r/>
      <w:r>
        <w:t>AB 3030 specifically targets the use of Generative AI (GenAI) in health-related communications. The new law requires all health facilities, clinics, and physician practices that utilise GenAI for generating patient communications about clinical information to include specific disclosures.</w:t>
      </w:r>
      <w:r/>
    </w:p>
    <w:p>
      <w:r/>
      <w:r>
        <w:t>These disclosures consist of two critical components:</w:t>
      </w:r>
      <w:r/>
    </w:p>
    <w:p>
      <w:r/>
      <w:r>
        <w:t xml:space="preserve">1. </w:t>
      </w:r>
      <w:r>
        <w:rPr>
          <w:b/>
        </w:rPr>
        <w:t>Disclaimer of AI Generation</w:t>
      </w:r>
      <w:r>
        <w:t>: Any communication generated by GenAI must clearly indicate its AI origin. This disclaimer must be integrated into the communication medium appropriately. For written formats like letters and emails, the disclaimer should be prominently placed at the beginning. In audio communications, the disclaimer should be verbally stated at both the start and end of the message. For video communications and continuous online interactions, such as chat-based telehealth, the disclaimer must remain visible throughout the entire exchange.</w:t>
      </w:r>
      <w:r/>
    </w:p>
    <w:p>
      <w:r/>
      <w:r>
        <w:t xml:space="preserve">2. </w:t>
      </w:r>
      <w:r>
        <w:rPr>
          <w:b/>
        </w:rPr>
        <w:t>Instructions for Human Contact</w:t>
      </w:r>
      <w:r>
        <w:t>: Communications must also provide straightforward instructions on how the recipient can contact a human healthcare provider or an appropriate staff member from the health facility or clinic.</w:t>
      </w:r>
      <w:r/>
    </w:p>
    <w:p>
      <w:r/>
      <w:r>
        <w:t>These measures are applicable exclusively to communications involving "patient clinical information," which specifically pertains to a patient's health status. Administrative communications, such as those related to scheduling and billing, are exempt from these requirements. Additionally, if an AI-generated message is reviewed and approved by a licensed or certified human healthcare provider, the need for a disclaimer and instructions is waived.</w:t>
      </w:r>
      <w:r/>
    </w:p>
    <w:p>
      <w:r/>
      <w:r>
        <w:t>Non-compliance with AB 3030 will attract penalties for the health facilities, clinics, or physician practices involved. These penalties could include fines and, potentially, actions against licensure. Physicians failing to adhere to the requirements might face disciplinary procedures concerning their licences.</w:t>
      </w:r>
      <w:r/>
    </w:p>
    <w:p>
      <w:r/>
      <w:r>
        <w:t>Healthcare providers are advised to assess their current use of Generative AI in patient communications to ensure full compliance with the new legislation by evaluating their procedures and making necessary adjustments before the law comes into effect. The enactment of AB 3030 underscores California's commitment to fostering an environment of transparency and accountability as AI becomes increasingly integrated into healthcare.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https://dataprivacy.foxrothschild.com/2024/10/articles/artificial-intelligence/generative-ai-and-california-health-care-facilities-what-you-need-to-know-about-ab-3030/</w:t>
        </w:r>
      </w:hyperlink>
      <w:r>
        <w:t xml:space="preserve"> - Corroborates the requirements for disclaimers and instructions in patient communications generated by GenAI, including the specific formats for different communication mediums.</w:t>
      </w:r>
      <w:r/>
    </w:p>
    <w:p>
      <w:pPr>
        <w:pStyle w:val="ListNumber"/>
        <w:spacing w:line="240" w:lineRule="auto"/>
        <w:ind w:left="720"/>
      </w:pPr>
      <w:r/>
      <w:hyperlink r:id="rId11">
        <w:r>
          <w:rPr>
            <w:color w:val="0000EE"/>
            <w:u w:val="single"/>
          </w:rPr>
          <w:t>https://billtexts.s3.amazonaws.com/ca/ca-analysishttps-leginfo-legislature-ca-gov-faces-billAnalysisClient-xhtml-bill-id-202320240AB3030-ca-analysis-370631.pdf</w:t>
        </w:r>
      </w:hyperlink>
      <w:r>
        <w:t xml:space="preserve"> - Provides detailed analysis of AB 3030, including the requirements for disclaimers, instructions for human contact, and exemptions for communications reviewed by human healthcare providers.</w:t>
      </w:r>
      <w:r/>
    </w:p>
    <w:p>
      <w:pPr>
        <w:pStyle w:val="ListNumber"/>
        <w:spacing w:line="240" w:lineRule="auto"/>
        <w:ind w:left="720"/>
      </w:pPr>
      <w:r/>
      <w:hyperlink r:id="rId12">
        <w:r>
          <w:rPr>
            <w:color w:val="0000EE"/>
            <w:u w:val="single"/>
          </w:rPr>
          <w:t>https://www.mbc.ca.gov/About/Meetings/Material/31353/brd-AgendaItem9F-20240822.pdf</w:t>
        </w:r>
      </w:hyperlink>
      <w:r>
        <w:t xml:space="preserve"> - Supports the specific requirements for disclaimers in different communication formats and the need for clear instructions on how patients can contact human healthcare providers.</w:t>
      </w:r>
      <w:r/>
    </w:p>
    <w:p>
      <w:pPr>
        <w:pStyle w:val="ListNumber"/>
        <w:spacing w:line="240" w:lineRule="auto"/>
        <w:ind w:left="720"/>
      </w:pPr>
      <w:r/>
      <w:hyperlink r:id="rId13">
        <w:r>
          <w:rPr>
            <w:color w:val="0000EE"/>
            <w:u w:val="single"/>
          </w:rPr>
          <w:t>https://natlawreview.com/article/california-requires-disclaimers-health-care-providers-ai-generated-patient</w:t>
        </w:r>
      </w:hyperlink>
      <w:r>
        <w:t xml:space="preserve"> - Details the disclosure requirements, the applicability to patient clinical information, and the penalties for non-compliance with AB 3030.</w:t>
      </w:r>
      <w:r/>
    </w:p>
    <w:p>
      <w:pPr>
        <w:pStyle w:val="ListNumber"/>
        <w:spacing w:line="240" w:lineRule="auto"/>
        <w:ind w:left="720"/>
      </w:pPr>
      <w:r/>
      <w:hyperlink r:id="rId14">
        <w:r>
          <w:rPr>
            <w:color w:val="0000EE"/>
            <w:u w:val="single"/>
          </w:rPr>
          <w:t>https://www.hklaw.com/en/insights/publications/2024/10/the-future-for-ai-usage-in-california-healthcare-upon</w:t>
        </w:r>
      </w:hyperlink>
      <w:r>
        <w:t xml:space="preserve"> - Explains the broader context of AI regulations in California, including the specific requirements of AB 3030 for patient communications generated by GenAI.</w:t>
      </w:r>
      <w:r/>
    </w:p>
    <w:p>
      <w:pPr>
        <w:pStyle w:val="ListNumber"/>
        <w:spacing w:line="240" w:lineRule="auto"/>
        <w:ind w:left="720"/>
      </w:pPr>
      <w:r/>
      <w:hyperlink r:id="rId10">
        <w:r>
          <w:rPr>
            <w:color w:val="0000EE"/>
            <w:u w:val="single"/>
          </w:rPr>
          <w:t>https://dataprivacy.foxrothschild.com/2024/10/articles/artificial-intelligence/generative-ai-and-california-health-care-facilities-what-you-need-to-know-about-ab-3030/</w:t>
        </w:r>
      </w:hyperlink>
      <w:r>
        <w:t xml:space="preserve"> - Clarifies that the law applies to health facilities, clinics, and physician practices using GenAI for patient communications related to clinical information.</w:t>
      </w:r>
      <w:r/>
    </w:p>
    <w:p>
      <w:pPr>
        <w:pStyle w:val="ListNumber"/>
        <w:spacing w:line="240" w:lineRule="auto"/>
        <w:ind w:left="720"/>
      </w:pPr>
      <w:r/>
      <w:hyperlink r:id="rId11">
        <w:r>
          <w:rPr>
            <w:color w:val="0000EE"/>
            <w:u w:val="single"/>
          </w:rPr>
          <w:t>https://billtexts.s3.amazonaws.com/ca/ca-analysishttps-leginfo-legislature-ca-gov-faces-billAnalysisClient-xhtml-bill-id-202320240AB3030-ca-analysis-370631.pdf</w:t>
        </w:r>
      </w:hyperlink>
      <w:r>
        <w:t xml:space="preserve"> - Confirms that the law takes effect on January 1, 2025, and is part of a broader suite of AI-related bills in California.</w:t>
      </w:r>
      <w:r/>
    </w:p>
    <w:p>
      <w:pPr>
        <w:pStyle w:val="ListNumber"/>
        <w:spacing w:line="240" w:lineRule="auto"/>
        <w:ind w:left="720"/>
      </w:pPr>
      <w:r/>
      <w:hyperlink r:id="rId12">
        <w:r>
          <w:rPr>
            <w:color w:val="0000EE"/>
            <w:u w:val="single"/>
          </w:rPr>
          <w:t>https://www.mbc.ca.gov/About/Meetings/Material/31353/brd-AgendaItem9F-20240822.pdf</w:t>
        </w:r>
      </w:hyperlink>
      <w:r>
        <w:t xml:space="preserve"> - Details the exemptions for communications that have been reviewed and approved by a licensed or certified human healthcare provider.</w:t>
      </w:r>
      <w:r/>
    </w:p>
    <w:p>
      <w:pPr>
        <w:pStyle w:val="ListNumber"/>
        <w:spacing w:line="240" w:lineRule="auto"/>
        <w:ind w:left="720"/>
      </w:pPr>
      <w:r/>
      <w:hyperlink r:id="rId13">
        <w:r>
          <w:rPr>
            <w:color w:val="0000EE"/>
            <w:u w:val="single"/>
          </w:rPr>
          <w:t>https://natlawreview.com/article/california-requires-disclaimers-health-care-providers-ai-generated-patient</w:t>
        </w:r>
      </w:hyperlink>
      <w:r>
        <w:t xml:space="preserve"> - Explains the penalties for non-compliance, including fines and potential actions against licensure for health facilities and disciplinary actions for physicians.</w:t>
      </w:r>
      <w:r/>
    </w:p>
    <w:p>
      <w:pPr>
        <w:pStyle w:val="ListNumber"/>
        <w:spacing w:line="240" w:lineRule="auto"/>
        <w:ind w:left="720"/>
      </w:pPr>
      <w:r/>
      <w:hyperlink r:id="rId14">
        <w:r>
          <w:rPr>
            <w:color w:val="0000EE"/>
            <w:u w:val="single"/>
          </w:rPr>
          <w:t>https://www.hklaw.com/en/insights/publications/2024/10/the-future-for-ai-usage-in-california-healthcare-upon</w:t>
        </w:r>
      </w:hyperlink>
      <w:r>
        <w:t xml:space="preserve"> - Highlights California's commitment to transparency and accountability in the integration of AI into healthcare.</w:t>
      </w:r>
      <w:r/>
    </w:p>
    <w:p>
      <w:pPr>
        <w:pStyle w:val="ListNumber"/>
        <w:spacing w:line="240" w:lineRule="auto"/>
        <w:ind w:left="720"/>
      </w:pPr>
      <w:r/>
      <w:hyperlink r:id="rId10">
        <w:r>
          <w:rPr>
            <w:color w:val="0000EE"/>
            <w:u w:val="single"/>
          </w:rPr>
          <w:t>https://dataprivacy.foxrothschild.com/2024/10/articles/artificial-intelligence/generative-ai-and-california-health-care-facilities-what-you-need-to-know-about-ab-3030/</w:t>
        </w:r>
      </w:hyperlink>
      <w:r>
        <w:t xml:space="preserve"> - Advises healthcare providers to assess and adjust their procedures to ensure compliance with AB 3030 before it takes effect.</w:t>
      </w:r>
      <w:r/>
    </w:p>
    <w:p>
      <w:pPr>
        <w:pStyle w:val="ListNumber"/>
        <w:spacing w:line="240" w:lineRule="auto"/>
        <w:ind w:left="720"/>
      </w:pPr>
      <w:r/>
      <w:hyperlink r:id="rId13">
        <w:r>
          <w:rPr>
            <w:color w:val="0000EE"/>
            <w:u w:val="single"/>
          </w:rPr>
          <w:t>https://natlawreview.com/article/california-requires-disclaimers-health-care-providers-ai-generated-patient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dataprivacy.foxrothschild.com/2024/10/articles/artificial-intelligence/generative-ai-and-california-health-care-facilities-what-you-need-to-know-about-ab-3030/" TargetMode="External"/><Relationship Id="rId11" Type="http://schemas.openxmlformats.org/officeDocument/2006/relationships/hyperlink" Target="https://billtexts.s3.amazonaws.com/ca/ca-analysishttps-leginfo-legislature-ca-gov-faces-billAnalysisClient-xhtml-bill-id-202320240AB3030-ca-analysis-370631.pdf" TargetMode="External"/><Relationship Id="rId12" Type="http://schemas.openxmlformats.org/officeDocument/2006/relationships/hyperlink" Target="https://www.mbc.ca.gov/About/Meetings/Material/31353/brd-AgendaItem9F-20240822.pdf" TargetMode="External"/><Relationship Id="rId13" Type="http://schemas.openxmlformats.org/officeDocument/2006/relationships/hyperlink" Target="https://natlawreview.com/article/california-requires-disclaimers-health-care-providers-ai-generated-patient" TargetMode="External"/><Relationship Id="rId14" Type="http://schemas.openxmlformats.org/officeDocument/2006/relationships/hyperlink" Target="https://www.hklaw.com/en/insights/publications/2024/10/the-future-for-ai-usage-in-california-healthcare-up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