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leaders gather to discuss AI regulation challenges at SICW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candid exchange of insights at the Singapore International Cyber Week (SICW) held on Tuesday, ministers and officials from around the globe contemplated the pressing challenge of regulating artificial intelligence (AI), echoing concerns that may have arrived too late to exercise effective control over the burgeoning technology. Reflecting on the unchecked growth of the internet, which many hoped would democratise information but instead became a conduit for disinformation, Singapore’s Coordinating Minister for National Security, Teo Chee Hean, drew parallels with the evolution of AI.</w:t>
      </w:r>
      <w:r/>
    </w:p>
    <w:p>
      <w:r/>
      <w:r>
        <w:t>Teo delineated the hope that accompanied the internet’s early years, where many believed access to information would lead to a flourishing of ideas and universal recognition of quality. However, he acknowledged the disillusionment that followed, as the internet became a tool for division and the spread of misinformation. Highlighting AI as a similarly transformative yet potentially hazardous technology, Teo underscored the necessity of not repeating past regulatory oversights.</w:t>
      </w:r>
      <w:r/>
    </w:p>
    <w:p>
      <w:r/>
      <w:r>
        <w:t>He emphasised that given the global nature and reach of AI services, regulation would require an unparalleled level of international cooperation—a complex feat amid prevailing geopolitical challenges. This complexity was evident at the conference, with representatives from countries embroiled in conflicts, such as Ukraine and Russia, attending consecutively, showcasing the multifaceted diplomatic dynamics at play.</w:t>
      </w:r>
      <w:r/>
    </w:p>
    <w:p>
      <w:r/>
      <w:r>
        <w:t>Ukrainian Deputy Minister of Foreign Affairs, HE Anton Demokhin, expressed a pragmatic view, acknowledging the harshness of global realities that demand robust responses to misbehaviour to pave the way for future cooperation. In contrast, Judith Collins, a minister from New Zealand, indicated that her country is still in the early stages of developing AI regulations, prioritising the balance between international collaboration and domestic responsibility.</w:t>
      </w:r>
      <w:r/>
    </w:p>
    <w:p>
      <w:r/>
      <w:r>
        <w:t>Australia's special envoy for Cyber Security and Digital Resilience, Andrew Charlton, highlighted the perpetual challenge governments face in keeping up with rapid technological advancements. He advocated for a mindset shift towards cooperation over competition to craft effective regulations, likening the process to the intuitive crossing of a street that requires ingrained understanding shared by all involved.</w:t>
      </w:r>
      <w:r/>
    </w:p>
    <w:p>
      <w:r/>
      <w:r>
        <w:t>Brunei's minister of Transport and Infocommunications, Shamhary Mustapha, pointed out that obtaining consensus on fundamental principles could ease the creation of norms and standards within regional coalitions such as ASEAN. He argued that ASEAN’s approach to technological governance has consistently focused on consensus-building as a strategic priority.</w:t>
      </w:r>
      <w:r/>
    </w:p>
    <w:p>
      <w:r/>
      <w:r>
        <w:t>For smaller nations, particularly those in the ASEAN bloc, collaboration becomes indispensable in regulatory matters due to their individual vulnerabilities. Judith Collins acknowledged the precariousness faced by smaller countries, which might lack support when under digital attack, often influenced by larger nations exercising their veto power.</w:t>
      </w:r>
      <w:r/>
    </w:p>
    <w:p>
      <w:r/>
      <w:r>
        <w:t>The looming concern over the influence of Big Tech companies was also addressed. Singapore’s Cyber Security Agency Commissioner, David Koh, highlighted that the financial clout of tech giants surpasses the GDP of many countries, underscoring the power they wield in shaping regulation discourse and implementation.</w:t>
      </w:r>
      <w:r/>
    </w:p>
    <w:p>
      <w:r/>
      <w:r>
        <w:t>Ivan John Uy from the Philippines’ Department of Information and Communications Technology offered a somewhat optimistic stance, asserting it is not too late for ASEAN to engage actively in AI governance. He noted the constant evolution of technology as an opportunity for timely intervention, suggesting a window for the region to assert its regulatory posture.</w:t>
      </w:r>
      <w:r/>
    </w:p>
    <w:p>
      <w:r/>
      <w:r>
        <w:t>The conference underscored a shared global acknowledgment of AI’s transformative potential and the intricate challenge of devising a cohesive regulatory framework. Engaging diverse perspectives and navigating complex international landscapes appear pivotal as nations grapple with the implications of AI on security, ethics, and global cooperation.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https://www.theregister.com/2024/10/16/ai_regulations_apac_ministerial_opinions/</w:t>
        </w:r>
      </w:hyperlink>
      <w:r>
        <w:t xml:space="preserve"> - Corroborates the discussion by ministers and officials at SICW about the challenges of regulating AI, including Teo Chee Hean's parallels between the internet and AI.</w:t>
      </w:r>
      <w:r/>
    </w:p>
    <w:p>
      <w:pPr>
        <w:pStyle w:val="ListNumber"/>
        <w:spacing w:line="240" w:lineRule="auto"/>
        <w:ind w:left="720"/>
      </w:pPr>
      <w:r/>
      <w:hyperlink r:id="rId10">
        <w:r>
          <w:rPr>
            <w:color w:val="0000EE"/>
            <w:u w:val="single"/>
          </w:rPr>
          <w:t>https://www.theregister.com/2024/10/16/ai_regulations_apac_ministerial_opinions/</w:t>
        </w:r>
      </w:hyperlink>
      <w:r>
        <w:t xml:space="preserve"> - Supports the point about the necessity of international cooperation for AI regulation and the complexities due to geopolitical challenges.</w:t>
      </w:r>
      <w:r/>
    </w:p>
    <w:p>
      <w:pPr>
        <w:pStyle w:val="ListNumber"/>
        <w:spacing w:line="240" w:lineRule="auto"/>
        <w:ind w:left="720"/>
      </w:pPr>
      <w:r/>
      <w:hyperlink r:id="rId10">
        <w:r>
          <w:rPr>
            <w:color w:val="0000EE"/>
            <w:u w:val="single"/>
          </w:rPr>
          <w:t>https://www.theregister.com/2024/10/16/ai_regulations_apac_ministerial_opinions/</w:t>
        </w:r>
      </w:hyperlink>
      <w:r>
        <w:t xml:space="preserve"> - Quotes Ukrainian Deputy Minister of Foreign Affairs, HE Anton Demokhin, and New Zealand minister Judith Collins on their views regarding AI regulation.</w:t>
      </w:r>
      <w:r/>
    </w:p>
    <w:p>
      <w:pPr>
        <w:pStyle w:val="ListNumber"/>
        <w:spacing w:line="240" w:lineRule="auto"/>
        <w:ind w:left="720"/>
      </w:pPr>
      <w:r/>
      <w:hyperlink r:id="rId10">
        <w:r>
          <w:rPr>
            <w:color w:val="0000EE"/>
            <w:u w:val="single"/>
          </w:rPr>
          <w:t>https://www.theregister.com/2024/10/16/ai_regulations_apac_ministerial_opinions/</w:t>
        </w:r>
      </w:hyperlink>
      <w:r>
        <w:t xml:space="preserve"> - Highlights Andrew Charlton's comments on the challenge of keeping up with technological advancements and the need for cooperation over competition.</w:t>
      </w:r>
      <w:r/>
    </w:p>
    <w:p>
      <w:pPr>
        <w:pStyle w:val="ListNumber"/>
        <w:spacing w:line="240" w:lineRule="auto"/>
        <w:ind w:left="720"/>
      </w:pPr>
      <w:r/>
      <w:hyperlink r:id="rId10">
        <w:r>
          <w:rPr>
            <w:color w:val="0000EE"/>
            <w:u w:val="single"/>
          </w:rPr>
          <w:t>https://www.theregister.com/2024/10/16/ai_regulations_apac_ministerial_opinions/</w:t>
        </w:r>
      </w:hyperlink>
      <w:r>
        <w:t xml:space="preserve"> - Mentions Brunei's minister of Transport and Infocommunications, Shamhary Mustapha, on the importance of consensus in creating norms and standards within ASEAN.</w:t>
      </w:r>
      <w:r/>
    </w:p>
    <w:p>
      <w:pPr>
        <w:pStyle w:val="ListNumber"/>
        <w:spacing w:line="240" w:lineRule="auto"/>
        <w:ind w:left="720"/>
      </w:pPr>
      <w:r/>
      <w:hyperlink r:id="rId10">
        <w:r>
          <w:rPr>
            <w:color w:val="0000EE"/>
            <w:u w:val="single"/>
          </w:rPr>
          <w:t>https://www.theregister.com/2024/10/16/ai_regulations_apac_ministerial_opinions/</w:t>
        </w:r>
      </w:hyperlink>
      <w:r>
        <w:t xml:space="preserve"> - Addresses the vulnerability of smaller nations and the influence of Big Tech companies as discussed by Judith Collins and David Koh.</w:t>
      </w:r>
      <w:r/>
    </w:p>
    <w:p>
      <w:pPr>
        <w:pStyle w:val="ListNumber"/>
        <w:spacing w:line="240" w:lineRule="auto"/>
        <w:ind w:left="720"/>
      </w:pPr>
      <w:r/>
      <w:hyperlink r:id="rId11">
        <w:r>
          <w:rPr>
            <w:color w:val="0000EE"/>
            <w:u w:val="single"/>
          </w:rPr>
          <w:t>https://www.csa.gov.sg/News-Events/Press-Releases/2024/sicw-2024-continues-to-drive-international-dialogue-and-cooperation-amid-climate-of-distrust</w:t>
        </w:r>
      </w:hyperlink>
      <w:r>
        <w:t xml:space="preserve"> - Provides context on the Singapore International Cyber Week (SICW) and its focus on international dialogue and cooperation on cybersecurity issues.</w:t>
      </w:r>
      <w:r/>
    </w:p>
    <w:p>
      <w:pPr>
        <w:pStyle w:val="ListNumber"/>
        <w:spacing w:line="240" w:lineRule="auto"/>
        <w:ind w:left="720"/>
      </w:pPr>
      <w:r/>
      <w:hyperlink r:id="rId11">
        <w:r>
          <w:rPr>
            <w:color w:val="0000EE"/>
            <w:u w:val="single"/>
          </w:rPr>
          <w:t>https://www.csa.gov.sg/News-Events/Press-Releases/2024/sicw-2024-continues-to-drive-international-dialogue-and-cooperation-amid-climate-of-distrust</w:t>
        </w:r>
      </w:hyperlink>
      <w:r>
        <w:t xml:space="preserve"> - Details the participation of various countries and the themes discussed at SICW, including AI governance and cybersecurity.</w:t>
      </w:r>
      <w:r/>
    </w:p>
    <w:p>
      <w:pPr>
        <w:pStyle w:val="ListNumber"/>
        <w:spacing w:line="240" w:lineRule="auto"/>
        <w:ind w:left="720"/>
      </w:pPr>
      <w:r/>
      <w:hyperlink r:id="rId12">
        <w:r>
          <w:rPr>
            <w:color w:val="0000EE"/>
            <w:u w:val="single"/>
          </w:rPr>
          <w:t>https://www.csa.gov.sg/News-Events/Press-Releases/2024/launch-of-guidelines-and-companion-guide-on-securing-artificial-intelligence-systems</w:t>
        </w:r>
      </w:hyperlink>
      <w:r>
        <w:t xml:space="preserve"> - Supports the launch of guidelines and a companion guide on securing AI systems by the Cyber Security Agency of Singapore, highlighting the importance of AI security.</w:t>
      </w:r>
      <w:r/>
    </w:p>
    <w:p>
      <w:pPr>
        <w:pStyle w:val="ListNumber"/>
        <w:spacing w:line="240" w:lineRule="auto"/>
        <w:ind w:left="720"/>
      </w:pPr>
      <w:r/>
      <w:hyperlink r:id="rId12">
        <w:r>
          <w:rPr>
            <w:color w:val="0000EE"/>
            <w:u w:val="single"/>
          </w:rPr>
          <w:t>https://www.csa.gov.sg/News-Events/Press-Releases/2024/launch-of-guidelines-and-companion-guide-on-securing-artificial-intelligence-systems</w:t>
        </w:r>
      </w:hyperlink>
      <w:r>
        <w:t xml:space="preserve"> - Explains the comprehensive approach to securing AI systems, including the life cycle stages and international standards referenced.</w:t>
      </w:r>
      <w:r/>
    </w:p>
    <w:p>
      <w:pPr>
        <w:pStyle w:val="ListNumber"/>
        <w:spacing w:line="240" w:lineRule="auto"/>
        <w:ind w:left="720"/>
      </w:pPr>
      <w:r/>
      <w:hyperlink r:id="rId13">
        <w:r>
          <w:rPr>
            <w:color w:val="0000EE"/>
            <w:u w:val="single"/>
          </w:rPr>
          <w:t>https://www.sicw.gov.sg/events/16-oct/high-level-panel-can-ai-be-secure/</w:t>
        </w:r>
      </w:hyperlink>
      <w:r>
        <w:t xml:space="preserve"> - Details the high-level panel discussion on AI security at SICW, involving international experts and their focus on AI governance and cybersecurity.</w:t>
      </w:r>
      <w:r/>
    </w:p>
    <w:p>
      <w:pPr>
        <w:pStyle w:val="ListNumber"/>
        <w:spacing w:line="240" w:lineRule="auto"/>
        <w:ind w:left="720"/>
      </w:pPr>
      <w:r/>
      <w:hyperlink r:id="rId10">
        <w:r>
          <w:rPr>
            <w:color w:val="0000EE"/>
            <w:u w:val="single"/>
          </w:rPr>
          <w:t>https://www.theregister.com/2024/10/16/ai_regulations_apac_ministerial_opinions/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0/16/ai_regulations_apac_ministerial_opinions/" TargetMode="External"/><Relationship Id="rId11" Type="http://schemas.openxmlformats.org/officeDocument/2006/relationships/hyperlink" Target="https://www.csa.gov.sg/News-Events/Press-Releases/2024/sicw-2024-continues-to-drive-international-dialogue-and-cooperation-amid-climate-of-distrust" TargetMode="External"/><Relationship Id="rId12" Type="http://schemas.openxmlformats.org/officeDocument/2006/relationships/hyperlink" Target="https://www.csa.gov.sg/News-Events/Press-Releases/2024/launch-of-guidelines-and-companion-guide-on-securing-artificial-intelligence-systems" TargetMode="External"/><Relationship Id="rId13" Type="http://schemas.openxmlformats.org/officeDocument/2006/relationships/hyperlink" Target="https://www.sicw.gov.sg/events/16-oct/high-level-panel-can-ai-be-sec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