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generative AI in intellectual property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rise and integration of generative artificial intelligence (GenAI) tools have propelled significant concern and activity within legal circles, particularly among intellectual property (IP) practitioners. These tools, which are designed to generate new content through the analysis of vast data sets, present unique challenges in areas such as copyright, patent law, and data privacy. The following analysis provides an overview of the current stance within the United States legal landscape regarding GenAI.</w:t>
      </w:r>
      <w:r/>
    </w:p>
    <w:p>
      <w:r/>
      <w:r>
        <w:rPr>
          <w:b/>
        </w:rPr>
        <w:t>GenAI Tools and Intellectual Property Challenges</w:t>
      </w:r>
      <w:r/>
    </w:p>
    <w:p>
      <w:r/>
      <w:r>
        <w:t>Generative AI technologies operate by processing large volumes of input data, enabling them to learn patterns and structures, which they then use to generate original outputs—ranging from images and stories to software code and audio snippets. The legal community is intensely focused on determining the copyrightability or patentability of these AI-produced outputs, while also addressing the use of copyrighted input materials for AI training purposes.</w:t>
      </w:r>
      <w:r/>
    </w:p>
    <w:p>
      <w:r/>
      <w:r>
        <w:rPr>
          <w:b/>
        </w:rPr>
        <w:t>Legal Decisions and Government Guidance</w:t>
      </w:r>
      <w:r/>
      <w:r/>
    </w:p>
    <w:p>
      <w:pPr>
        <w:pStyle w:val="ListBullet"/>
        <w:spacing w:line="240" w:lineRule="auto"/>
        <w:ind w:left="720"/>
      </w:pPr>
      <w:r/>
      <w:r>
        <w:t>Copyright Protection and Ownership: A key ruling from the U.S. District Court for the District of Columbia in August 2023 upheld an existing decision that outputs from GenAI lacking substantial human involvement are not eligible for copyright protection. This aligns with the U.S. Copyright Office's position that purely AI-generated work cannot be protected or owned under copyright laws. Although the precise degree of human involvement necessary to claim copyright remains a debated topic, AI-assisted elements of copyrightable works remain unprotected.</w:t>
      </w:r>
      <w:r/>
    </w:p>
    <w:p>
      <w:pPr>
        <w:pStyle w:val="ListBullet"/>
        <w:spacing w:line="240" w:lineRule="auto"/>
        <w:ind w:left="720"/>
      </w:pPr>
      <w:r/>
      <w:r>
        <w:t>Patent Considerations: The U.S. Patent and Trademark Office (USPTO) permits patent protection for inventions assisted by AI, provided there is notable human contribution in their development. This was reinforced by a 2022 ruling from the U.S. Appellate Court for the Eastern District of Virginia, underscoring that AI cannot be recognised as an inventor under current patent law—a divergence from copyright regulations where AI-generated portions are not patentable.</w:t>
      </w:r>
      <w:r/>
      <w:r/>
    </w:p>
    <w:p>
      <w:r/>
      <w:r>
        <w:rPr>
          <w:b/>
        </w:rPr>
        <w:t>Infringement and Legal Actions</w:t>
      </w:r>
      <w:r/>
    </w:p>
    <w:p>
      <w:r/>
      <w:r>
        <w:t>Legal challenges against companies leveraging GenAI primarily involve allegations of copyright infringement, both direct and vicarious. For instance, in ongoing cases, courts have been tasked with deciding if the mere use of copyrighted material to train AI constitutes infringement. Notably, in the case of Kadrey v. Meta Platforms, Inc., the court determined that using copyrighted works for system training does not automatically mean infringement for the AI-generated outputs. Additionally, interpretations on GenAI prompt discoverability in infringement lawsuits, based on a recent ruling from the Northern District of California, have set an example for matters like work product protection.</w:t>
      </w:r>
      <w:r/>
    </w:p>
    <w:p>
      <w:r/>
      <w:r>
        <w:rPr>
          <w:b/>
        </w:rPr>
        <w:t>Executive Actions and Legislative Developments</w:t>
      </w:r>
      <w:r/>
    </w:p>
    <w:p>
      <w:r/>
      <w:r>
        <w:t>On October 30, 2023, President Biden’s Executive Order on AI initiated comprehensive measures to promote ethical AI development. Key aspects of the order include directives for the Copyright Office and the USPTO to develop guidance on copyright and inventorship issues related to AI.</w:t>
      </w:r>
      <w:r/>
      <w:r/>
    </w:p>
    <w:p>
      <w:pPr>
        <w:pStyle w:val="ListBullet"/>
        <w:spacing w:line="240" w:lineRule="auto"/>
        <w:ind w:left="720"/>
      </w:pPr>
      <w:r/>
      <w:r>
        <w:t>Copyright Office Report: A major component of the immediate response includes a report by the Copyright Office focusing on the legally intricate issues around digital replicas, or "deepfakes." California has promptly enacted legislations such as AB 2839 to mitigate the misuse of digitally altered content in political arenas, although recent legal challenges claim these statutes infringe upon constitutional rights.</w:t>
      </w:r>
      <w:r/>
    </w:p>
    <w:p>
      <w:pPr>
        <w:pStyle w:val="ListBullet"/>
        <w:spacing w:line="240" w:lineRule="auto"/>
        <w:ind w:left="720"/>
      </w:pPr>
      <w:r/>
      <w:r>
        <w:t>USPTO Guidance: The USPTO’s 2024 guidance update clarifies the criteria for patenting AI-assisted inventions, asserting the necessity of human input in significant parts of the creation process for eligibility.</w:t>
      </w:r>
      <w:r/>
      <w:r/>
    </w:p>
    <w:p>
      <w:r/>
      <w:r>
        <w:rPr>
          <w:b/>
        </w:rPr>
        <w:t>Implications for the Future</w:t>
      </w:r>
      <w:r/>
    </w:p>
    <w:p>
      <w:r/>
      <w:r>
        <w:t>The ongoing legal discourse around GenAI highlights the complexities and dynamic nature of intellectual property law as it seeks to accommodate emerging technologies. While incremental insights and decisions have begun to shape the legal framework, much remains uncertain. The continuation of legal developments and decisions will be closely observed by both legal professionals and businesses utilising GenAI, as they navigate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https://www.xenonstack.com/blog/intellectual-property-rights-risks-guidance-for-generative-ai</w:t>
        </w:r>
      </w:hyperlink>
      <w:r>
        <w:t xml:space="preserve"> - Discusses the legal risks associated with generative AI, including copyright infringement, ownership of AI-generated works, and the need for guiding principles to manage IP-related challenges.</w:t>
      </w:r>
      <w:r/>
    </w:p>
    <w:p>
      <w:pPr>
        <w:pStyle w:val="ListNumber"/>
        <w:spacing w:line="240" w:lineRule="auto"/>
        <w:ind w:left="720"/>
      </w:pPr>
      <w:r/>
      <w:hyperlink r:id="rId11">
        <w:r>
          <w:rPr>
            <w:color w:val="0000EE"/>
            <w:u w:val="single"/>
          </w:rPr>
          <w:t>https://hbr.org/2023/04/generative-ai-has-an-intellectual-property-problem</w:t>
        </w:r>
      </w:hyperlink>
      <w:r>
        <w:t xml:space="preserve"> - Addresses the legal implications of using generative AI, including issues of copyright infringement, ownership of AI-generated works, and the use of unlicensed content in training data.</w:t>
      </w:r>
      <w:r/>
    </w:p>
    <w:p>
      <w:pPr>
        <w:pStyle w:val="ListNumber"/>
        <w:spacing w:line="240" w:lineRule="auto"/>
        <w:ind w:left="720"/>
      </w:pPr>
      <w:r/>
      <w:hyperlink r:id="rId12">
        <w:r>
          <w:rPr>
            <w:color w:val="0000EE"/>
            <w:u w:val="single"/>
          </w:rPr>
          <w:t>https://www.forbes.com/sites/ronschmelzer/2024/07/18/what-is-the-future-of-intellectual-property-in-a-generative-ai-world/</w:t>
        </w:r>
      </w:hyperlink>
      <w:r>
        <w:t xml:space="preserve"> - Explores the intellectual property concerns with generative AI, such as the resemblance of AI-generated outputs to the training data and the need for a nuanced approach to IP laws.</w:t>
      </w:r>
      <w:r/>
    </w:p>
    <w:p>
      <w:pPr>
        <w:pStyle w:val="ListNumber"/>
        <w:spacing w:line="240" w:lineRule="auto"/>
        <w:ind w:left="720"/>
      </w:pPr>
      <w:r/>
      <w:hyperlink r:id="rId13">
        <w:r>
          <w:rPr>
            <w:color w:val="0000EE"/>
            <w:u w:val="single"/>
          </w:rPr>
          <w:t>https://www.euipo.europa.eu/en/news/navigating-the-complexities-of-generative-ai-in-intellectual-property-challenges-and-opportunities</w:t>
        </w:r>
      </w:hyperlink>
      <w:r>
        <w:t xml:space="preserve"> - Details the EU's regulatory response to generative AI, including the AI Act and the challenges of using copyrighted works as training material, as well as issues around IP protection for AI-generated content.</w:t>
      </w:r>
      <w:r/>
    </w:p>
    <w:p>
      <w:pPr>
        <w:pStyle w:val="ListNumber"/>
        <w:spacing w:line="240" w:lineRule="auto"/>
        <w:ind w:left="720"/>
      </w:pPr>
      <w:r/>
      <w:hyperlink r:id="rId14">
        <w:r>
          <w:rPr>
            <w:color w:val="0000EE"/>
            <w:u w:val="single"/>
          </w:rPr>
          <w:t>https://www.jdsupra.com/legalnews/intellectual-property-law-in-the-age-of-1455427/</w:t>
        </w:r>
      </w:hyperlink>
      <w:r>
        <w:t xml:space="preserve"> - Provides an overview of the current intellectual property legal landscape in the U.S. regarding generative AI, including copyright and patent considerations, and recent court decisions.</w:t>
      </w:r>
      <w:r/>
    </w:p>
    <w:p>
      <w:pPr>
        <w:pStyle w:val="ListNumber"/>
        <w:spacing w:line="240" w:lineRule="auto"/>
        <w:ind w:left="720"/>
      </w:pPr>
      <w:r/>
      <w:hyperlink r:id="rId14">
        <w:r>
          <w:rPr>
            <w:color w:val="0000EE"/>
            <w:u w:val="single"/>
          </w:rPr>
          <w:t>https://www.jdsupra.com/legalnews/intellectual-property-law-in-the-age-of-1455427/</w:t>
        </w:r>
      </w:hyperlink>
      <w:r>
        <w:t xml:space="preserve"> - Corroborates the U.S. District Court for the District of Columbia's ruling that GenAI outputs lacking substantial human involvement are not eligible for copyright protection.</w:t>
      </w:r>
      <w:r/>
    </w:p>
    <w:p>
      <w:pPr>
        <w:pStyle w:val="ListNumber"/>
        <w:spacing w:line="240" w:lineRule="auto"/>
        <w:ind w:left="720"/>
      </w:pPr>
      <w:r/>
      <w:hyperlink r:id="rId14">
        <w:r>
          <w:rPr>
            <w:color w:val="0000EE"/>
            <w:u w:val="single"/>
          </w:rPr>
          <w:t>https://www.jdsupra.com/legalnews/intellectual-property-law-in-the-age-of-1455427/</w:t>
        </w:r>
      </w:hyperlink>
      <w:r>
        <w:t xml:space="preserve"> - Supports the USPTO's stance that AI-assisted inventions can obtain patent protection only if there is significant human involvement in their development.</w:t>
      </w:r>
      <w:r/>
    </w:p>
    <w:p>
      <w:pPr>
        <w:pStyle w:val="ListNumber"/>
        <w:spacing w:line="240" w:lineRule="auto"/>
        <w:ind w:left="720"/>
      </w:pPr>
      <w:r/>
      <w:hyperlink r:id="rId14">
        <w:r>
          <w:rPr>
            <w:color w:val="0000EE"/>
            <w:u w:val="single"/>
          </w:rPr>
          <w:t>https://www.jdsupra.com/legalnews/intellectual-property-law-in-the-age-of-1455427/</w:t>
        </w:r>
      </w:hyperlink>
      <w:r>
        <w:t xml:space="preserve"> - Discusses ongoing cases involving allegations of copyright infringement, such as Kadrey v. Meta Platforms, Inc., and the issue of GenAI prompt discoverability in infringement lawsuits.</w:t>
      </w:r>
      <w:r/>
    </w:p>
    <w:p>
      <w:pPr>
        <w:pStyle w:val="ListNumber"/>
        <w:spacing w:line="240" w:lineRule="auto"/>
        <w:ind w:left="720"/>
      </w:pPr>
      <w:r/>
      <w:hyperlink r:id="rId13">
        <w:r>
          <w:rPr>
            <w:color w:val="0000EE"/>
            <w:u w:val="single"/>
          </w:rPr>
          <w:t>https://www.euipo.europa.eu/en/news/navigating-the-complexities-of-generative-ai-in-intellectual-property-challenges-and-opportunities</w:t>
        </w:r>
      </w:hyperlink>
      <w:r>
        <w:t xml:space="preserve"> - Mentions the European Union's AI Act and its aim to establish a comprehensive legal framework for AI, including intellectual property considerations.</w:t>
      </w:r>
      <w:r/>
    </w:p>
    <w:p>
      <w:pPr>
        <w:pStyle w:val="ListNumber"/>
        <w:spacing w:line="240" w:lineRule="auto"/>
        <w:ind w:left="720"/>
      </w:pPr>
      <w:r/>
      <w:hyperlink r:id="rId12">
        <w:r>
          <w:rPr>
            <w:color w:val="0000EE"/>
            <w:u w:val="single"/>
          </w:rPr>
          <w:t>https://www.forbes.com/sites/ronschmelzer/2024/07/18/what-is-the-future-of-intellectual-property-in-a-generative-ai-world/</w:t>
        </w:r>
      </w:hyperlink>
      <w:r>
        <w:t xml:space="preserve"> - Highlights the need for transparency and innovative licensing models to address the use of copyrighted works in GenAI training processes.</w:t>
      </w:r>
      <w:r/>
    </w:p>
    <w:p>
      <w:pPr>
        <w:pStyle w:val="ListNumber"/>
        <w:spacing w:line="240" w:lineRule="auto"/>
        <w:ind w:left="720"/>
      </w:pPr>
      <w:r/>
      <w:hyperlink r:id="rId14">
        <w:r>
          <w:rPr>
            <w:color w:val="0000EE"/>
            <w:u w:val="single"/>
          </w:rPr>
          <w:t>https://www.jdsupra.com/legalnews/intellectual-property-law-in-the-age-of-1455427/</w:t>
        </w:r>
      </w:hyperlink>
      <w:r>
        <w:t xml:space="preserve"> - Details the USPTO’s 2024 guidance update on patenting AI-assisted inventions, emphasizing the necessity of human input for eligibility.</w:t>
      </w:r>
      <w:r/>
    </w:p>
    <w:p>
      <w:pPr>
        <w:pStyle w:val="ListNumber"/>
        <w:spacing w:line="240" w:lineRule="auto"/>
        <w:ind w:left="720"/>
      </w:pPr>
      <w:r/>
      <w:hyperlink r:id="rId14">
        <w:r>
          <w:rPr>
            <w:color w:val="0000EE"/>
            <w:u w:val="single"/>
          </w:rPr>
          <w:t>https://www.jdsupra.com/legalnews/intellectual-property-law-in-the-age-of-1455427/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enonstack.com/blog/intellectual-property-rights-risks-guidance-for-generative-ai" TargetMode="External"/><Relationship Id="rId11" Type="http://schemas.openxmlformats.org/officeDocument/2006/relationships/hyperlink" Target="https://hbr.org/2023/04/generative-ai-has-an-intellectual-property-problem" TargetMode="External"/><Relationship Id="rId12" Type="http://schemas.openxmlformats.org/officeDocument/2006/relationships/hyperlink" Target="https://www.forbes.com/sites/ronschmelzer/2024/07/18/what-is-the-future-of-intellectual-property-in-a-generative-ai-world/" TargetMode="External"/><Relationship Id="rId13" Type="http://schemas.openxmlformats.org/officeDocument/2006/relationships/hyperlink" Target="https://www.euipo.europa.eu/en/news/navigating-the-complexities-of-generative-ai-in-intellectual-property-challenges-and-opportunities" TargetMode="External"/><Relationship Id="rId14" Type="http://schemas.openxmlformats.org/officeDocument/2006/relationships/hyperlink" Target="https://www.jdsupra.com/legalnews/intellectual-property-law-in-the-age-of-14554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