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Publishers explore new partnerships with AI firms amid content licensing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Digiday Publishing Summit, discussions centred on the nuanced relationships forming between publishers and artificial intelligence (AI) firms amid the evolving landscape of content licensing deals. Publishers, traditionally focused on monetising their content through direct payment, are now being offered broader compensatory packages, prominently featuring subsidised access to AI companies' large language models (LLMs).</w:t>
      </w:r>
      <w:r/>
    </w:p>
    <w:p>
      <w:r/>
      <w:r>
        <w:t>The shift towards providing technology credits allows publishers to utilise these LLMs as part of their strategic arsenal. Various publishing executives at the summit highlighted the dual benefits of these agreements. Not only do they offer financial remuneration, but they also provide publishers with opportunities to harness AI-driven tools, such as on-site AI chatbots and enhanced search functionalities.</w:t>
      </w:r>
      <w:r/>
    </w:p>
    <w:p>
      <w:r/>
      <w:r>
        <w:t>For many publishers, these technology credits have become a form of currency. Although generally perceived as less valuable than cash, these credits hold potential for innovation. They enable publishers to bolster their digital toolset, potentially furnishing them with better means to manage content discovery amidst the potentially disruptive advances of platforms like ChatGPT.</w:t>
      </w:r>
      <w:r/>
    </w:p>
    <w:p>
      <w:r/>
      <w:r>
        <w:t>The evolving AI landscape presents both opportunities and challenges for publishers. The partnerships with AI firms could facilitate tailored AI solutions, aligning publishers' and technology companies' interests, albeit temporarily. An executive shared insights at the summit, suggesting that AI companies are keen to see publishers utilise their LLMs, believing that more use would feed into better training of these models.</w:t>
      </w:r>
      <w:r/>
    </w:p>
    <w:p>
      <w:r/>
      <w:r>
        <w:t>Yet, there remains a tangible uncertainty among publishers regarding the adoption and efficacy of their AI-generated tools. One executive voiced expectations regarding consumer uptake of these AI solutions, questioning the practical success of features such as custom-built chatbots. Feedback indicated that despite significant resource investment, usage remains low. Another participant recounted the painstaking development of a chatbot, which yielded little user engagement, drawing attention to the potential disconnect between technological capability and audience interaction.</w:t>
      </w:r>
      <w:r/>
    </w:p>
    <w:p>
      <w:r/>
      <w:r>
        <w:t>On the broader financial front of the media and publishing sectors, the Financial Times reported revenues of £510 million in 2023, reflecting stability amid the economic tumult. Meanwhile, The New Yorker has adjusted its minimum staff salary to $63,000 following recent union agreements, showcasing sector-wide adjustments to labour dynamics.</w:t>
      </w:r>
      <w:r/>
    </w:p>
    <w:p>
      <w:r/>
      <w:r>
        <w:t>As the demand for diverse content and voices persists, developments around the US election period are influencing advertiser behaviours, causing certain publishers to face fluctuations in ad spending. Issues concerning content rights continue to dominate conversations, with The New York Times grappling legally with AI entities like OpenAI and Perplexity over fair use and copyright matters.</w:t>
      </w:r>
      <w:r/>
    </w:p>
    <w:p>
      <w:r/>
      <w:r>
        <w:t>These intricate issues underline the complex and rapidly shifting terrain in which publishers and AI firms operate today. The ongoing dialogues at industry summits and within boardrooms illuminate the pursuit of equilibrium between emerging technologies and traditional media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https://digiday.com/media/media-briefing-tech-credits-count-for-some-compensation-in-publishers-ai-deals/</w:t>
        </w:r>
      </w:hyperlink>
      <w:r>
        <w:t xml:space="preserve"> - Discusses how publishers are receiving credits to use AI companies' large language models as part of content licensing deals, highlighting the dual benefits of financial remuneration and access to AI-driven tools.</w:t>
      </w:r>
      <w:r/>
    </w:p>
    <w:p>
      <w:pPr>
        <w:pStyle w:val="ListNumber"/>
        <w:spacing w:line="240" w:lineRule="auto"/>
        <w:ind w:left="720"/>
      </w:pPr>
      <w:r/>
      <w:hyperlink r:id="rId10">
        <w:r>
          <w:rPr>
            <w:color w:val="0000EE"/>
            <w:u w:val="single"/>
          </w:rPr>
          <w:t>https://digiday.com/media/media-briefing-tech-credits-count-for-some-compensation-in-publishers-ai-deals/</w:t>
        </w:r>
      </w:hyperlink>
      <w:r>
        <w:t xml:space="preserve"> - Explains how technology credits have become a form of currency for publishers, enabling them to utilize AI-driven tools like on-site chatbots and enhanced search functionalities.</w:t>
      </w:r>
      <w:r/>
    </w:p>
    <w:p>
      <w:pPr>
        <w:pStyle w:val="ListNumber"/>
        <w:spacing w:line="240" w:lineRule="auto"/>
        <w:ind w:left="720"/>
      </w:pPr>
      <w:r/>
      <w:hyperlink r:id="rId10">
        <w:r>
          <w:rPr>
            <w:color w:val="0000EE"/>
            <w:u w:val="single"/>
          </w:rPr>
          <w:t>https://digiday.com/media/media-briefing-tech-credits-count-for-some-compensation-in-publishers-ai-deals/</w:t>
        </w:r>
      </w:hyperlink>
      <w:r>
        <w:t xml:space="preserve"> - Mentions that AI companies are keen to see publishers use their LLMs, believing it would improve the training of these models, and highlights the temporary alignment of interests between publishers and AI firms.</w:t>
      </w:r>
      <w:r/>
    </w:p>
    <w:p>
      <w:pPr>
        <w:pStyle w:val="ListNumber"/>
        <w:spacing w:line="240" w:lineRule="auto"/>
        <w:ind w:left="720"/>
      </w:pPr>
      <w:r/>
      <w:hyperlink r:id="rId10">
        <w:r>
          <w:rPr>
            <w:color w:val="0000EE"/>
            <w:u w:val="single"/>
          </w:rPr>
          <w:t>https://digiday.com/media/media-briefing-tech-credits-count-for-some-compensation-in-publishers-ai-deals/</w:t>
        </w:r>
      </w:hyperlink>
      <w:r>
        <w:t xml:space="preserve"> - Addresses the uncertainty among publishers about the adoption and efficacy of AI-generated tools, including low user engagement with custom-built chatbots despite significant resource investment.</w:t>
      </w:r>
      <w:r/>
    </w:p>
    <w:p>
      <w:pPr>
        <w:pStyle w:val="ListNumber"/>
        <w:spacing w:line="240" w:lineRule="auto"/>
        <w:ind w:left="720"/>
      </w:pPr>
      <w:r/>
      <w:hyperlink r:id="rId11">
        <w:r>
          <w:rPr>
            <w:color w:val="0000EE"/>
            <w:u w:val="single"/>
          </w:rPr>
          <w:t>https://digiday.com/media/the-art-of-negotiating-ai-deals-according-to-time-coo-mark-howard/</w:t>
        </w:r>
      </w:hyperlink>
      <w:r>
        <w:t xml:space="preserve"> - Details Time's approach to negotiating AI deals, emphasizing the importance of early partnerships and understanding AI bot activity on publishers' sites to leverage in negotiations.</w:t>
      </w:r>
      <w:r/>
    </w:p>
    <w:p>
      <w:pPr>
        <w:pStyle w:val="ListNumber"/>
        <w:spacing w:line="240" w:lineRule="auto"/>
        <w:ind w:left="720"/>
      </w:pPr>
      <w:r/>
      <w:hyperlink r:id="rId11">
        <w:r>
          <w:rPr>
            <w:color w:val="0000EE"/>
            <w:u w:val="single"/>
          </w:rPr>
          <w:t>https://digiday.com/media/the-art-of-negotiating-ai-deals-according-to-time-coo-mark-howard/</w:t>
        </w:r>
      </w:hyperlink>
      <w:r>
        <w:t xml:space="preserve"> - Discusses how AI companies already have publishers' content and the need for publishers to understand this in order to negotiate effectively, highlighting the use of tools like TollBit to monitor AI bot traffic.</w:t>
      </w:r>
      <w:r/>
    </w:p>
    <w:p>
      <w:pPr>
        <w:pStyle w:val="ListNumber"/>
        <w:spacing w:line="240" w:lineRule="auto"/>
        <w:ind w:left="720"/>
      </w:pPr>
      <w:r/>
      <w:hyperlink r:id="rId12">
        <w:r>
          <w:rPr>
            <w:color w:val="0000EE"/>
            <w:u w:val="single"/>
          </w:rPr>
          <w:t>https://digiday.com/media/the-pros-and-cons-of-publishers-ai-licensing-deals/</w:t>
        </w:r>
      </w:hyperlink>
      <w:r>
        <w:t xml:space="preserve"> - Outlines the pros and cons of publishers' AI licensing deals, including compensation for content use, access to powerful AI technology, and concerns about underpayment and lack of leverage.</w:t>
      </w:r>
      <w:r/>
    </w:p>
    <w:p>
      <w:pPr>
        <w:pStyle w:val="ListNumber"/>
        <w:spacing w:line="240" w:lineRule="auto"/>
        <w:ind w:left="720"/>
      </w:pPr>
      <w:r/>
      <w:hyperlink r:id="rId12">
        <w:r>
          <w:rPr>
            <w:color w:val="0000EE"/>
            <w:u w:val="single"/>
          </w:rPr>
          <w:t>https://digiday.com/media/the-pros-and-cons-of-publishers-ai-licensing-deals/</w:t>
        </w:r>
      </w:hyperlink>
      <w:r>
        <w:t xml:space="preserve"> - Provides examples of deals between publishers and AI tech companies, such as OpenAI, and the benefits these deals bring, including improved analytics and content optimization.</w:t>
      </w:r>
      <w:r/>
    </w:p>
    <w:p>
      <w:pPr>
        <w:pStyle w:val="ListNumber"/>
        <w:spacing w:line="240" w:lineRule="auto"/>
        <w:ind w:left="720"/>
      </w:pPr>
      <w:r/>
      <w:hyperlink r:id="rId13">
        <w:r>
          <w:rPr>
            <w:color w:val="0000EE"/>
            <w:u w:val="single"/>
          </w:rPr>
          <w:t>https://digiday.com/media/publisher-execs-talk-ai-licensing-deals-new-applications-for-ai-in-latest-earnings-calls/</w:t>
        </w:r>
      </w:hyperlink>
      <w:r>
        <w:t xml:space="preserve"> - Reports on recent AI licensing deals, such as those between IAC’s Dotdash Meredith and OpenAI, and News Corp and Google, highlighting financial and strategic aspects of these agreements.</w:t>
      </w:r>
      <w:r/>
    </w:p>
    <w:p>
      <w:pPr>
        <w:pStyle w:val="ListNumber"/>
        <w:spacing w:line="240" w:lineRule="auto"/>
        <w:ind w:left="720"/>
      </w:pPr>
      <w:r/>
      <w:hyperlink r:id="rId13">
        <w:r>
          <w:rPr>
            <w:color w:val="0000EE"/>
            <w:u w:val="single"/>
          </w:rPr>
          <w:t>https://digiday.com/media/publisher-execs-talk-ai-licensing-deals-new-applications-for-ai-in-latest-earnings-calls/</w:t>
        </w:r>
      </w:hyperlink>
      <w:r>
        <w:t xml:space="preserve"> - Mentions the impact of AI on ad targeting and revenue, including IAC’s use of OpenAI’s LLM to enhance contextual targeting and drive traffic to their sites.</w:t>
      </w:r>
      <w:r/>
    </w:p>
    <w:p>
      <w:pPr>
        <w:pStyle w:val="ListNumber"/>
        <w:spacing w:line="240" w:lineRule="auto"/>
        <w:ind w:left="720"/>
      </w:pPr>
      <w:r/>
      <w:hyperlink r:id="rId10">
        <w:r>
          <w:rPr>
            <w:color w:val="0000EE"/>
            <w:u w:val="single"/>
          </w:rPr>
          <w:t>https://digiday.com/media/media-briefing-tech-credits-count-for-some-compensation-in-publishers-ai-deals/</w:t>
        </w:r>
      </w:hyperlink>
      <w:r>
        <w:t xml:space="preserve"> - Discusses the legal issues surrounding content rights, such as The New York Times' lawsuits against OpenAI and Perplexity over fair use and copyright matters.</w:t>
      </w:r>
      <w:r/>
    </w:p>
    <w:p>
      <w:pPr>
        <w:pStyle w:val="ListNumber"/>
        <w:spacing w:line="240" w:lineRule="auto"/>
        <w:ind w:left="720"/>
      </w:pPr>
      <w:r/>
      <w:hyperlink r:id="rId14">
        <w:r>
          <w:rPr>
            <w:color w:val="0000EE"/>
            <w:u w:val="single"/>
          </w:rPr>
          <w:t>https://digiday.com/media/media-briefing-tech-credits-count-for-some-compensation-in-publishers-ai-deals/?utm_campaign=digidaydis&amp;utm_medium=rss&amp;utm_source=general-rss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media-briefing-tech-credits-count-for-some-compensation-in-publishers-ai-deals/" TargetMode="External"/><Relationship Id="rId11" Type="http://schemas.openxmlformats.org/officeDocument/2006/relationships/hyperlink" Target="https://digiday.com/media/the-art-of-negotiating-ai-deals-according-to-time-coo-mark-howard/" TargetMode="External"/><Relationship Id="rId12" Type="http://schemas.openxmlformats.org/officeDocument/2006/relationships/hyperlink" Target="https://digiday.com/media/the-pros-and-cons-of-publishers-ai-licensing-deals/" TargetMode="External"/><Relationship Id="rId13" Type="http://schemas.openxmlformats.org/officeDocument/2006/relationships/hyperlink" Target="https://digiday.com/media/publisher-execs-talk-ai-licensing-deals-new-applications-for-ai-in-latest-earnings-calls/" TargetMode="External"/><Relationship Id="rId14" Type="http://schemas.openxmlformats.org/officeDocument/2006/relationships/hyperlink" Target="https://digiday.com/media/media-briefing-tech-credits-count-for-some-compensation-in-publishers-ai-deal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