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ethical implications of generative AI in legal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legal practice, the deployment of generative artificial intelligence (GAI) is under intense scrutiny following a notable legal case and subsequent ethical guidance issued by professional bodies. The case of Mata v. Avianca, Inc., which surfaced last year, spotlighted significant challenges and repercussions when legal professionals rely on GAI tools without comprehensive understanding or proper verification.</w:t>
      </w:r>
      <w:r/>
    </w:p>
    <w:p>
      <w:r/>
      <w:r>
        <w:t>The Mata v. Avianca case unfolded when lawyers for the plaintiff submitted a brief created with the aid of ChatGPT, a generative AI tool. The brief presented to the federal court contained fictitious citations and fabricated judicial opinions. The submission's inaccuracies were highlighted in the court's opinion at 678 F.Supp.3d 443 (S.D.N.Y. 2023), where the judge criticised the lawyers for not fulfilling their responsibilities and for continuing to defend the non-existent citations even after they were questioned by the court.</w:t>
      </w:r>
      <w:r/>
    </w:p>
    <w:p>
      <w:r/>
      <w:r>
        <w:t>In the wake of such incidents, the American Bar Association (ABA) issued Formal Opinion 512. This comprehensive guidance, spanning fifteen pages, elucidates the ethical obligations of lawyers using GAI tools. It underscores the necessity for lawyers to comprehend both the capabilities and limitations of AI technologies they employ. Key aspects highlighted include attorney competence in utilizing GAI, safeguarding client information, clear communication with clients about AI usage, and maintaining transparency in tribunal obligations.</w:t>
      </w:r>
      <w:r/>
    </w:p>
    <w:p>
      <w:r/>
      <w:r>
        <w:t>The opinion stresses that while GAI can aid in legal practices, lawyers must not completely depend on it, especially for tasks requiring professional judgment. All AI-generated material should undergo meticulous evaluation to ensure its accuracy, completeness, and validity before being used in any legal context. The opinion highlights that reliance on GAI should be coupled with a lawyer's professional scrutiny and evaluation.</w:t>
      </w:r>
      <w:r/>
    </w:p>
    <w:p>
      <w:r/>
      <w:r>
        <w:t>Moreover, the ABA's opinion advocates for continuous education among legal professionals to keep pace with the rapid evolution of GAI tools. It suggests that failing to adhere to industry standards regarding AI usage could serve as evidence in cases involving legal malpractice claims.</w:t>
      </w:r>
      <w:r/>
    </w:p>
    <w:p>
      <w:r/>
      <w:r>
        <w:t>Adding to the conversation about ethical considerations in legal practice, the concept of retainer agreements is essential. These agreements form the bedrock of the attorney-client relationship by defining the scope and terms of legal representation. According to the ABA Model Rules, these agreements should clearly articulate the limitations of an attorney’s representation, ensuring that both parties understand their responsibilities and expectations.</w:t>
      </w:r>
      <w:r/>
    </w:p>
    <w:p>
      <w:r/>
      <w:r>
        <w:t>The significance of precisely drafted retainer agreements was illustrated in a recent Arizona Superior Court case. Here, a plaintiff's misunderstanding led to allegations that an attorney did not meet the retainer agreement's terms. The court, however, sided with the attorney, noting that without amendments or new agreements, the attorney was not obligated to extend services beyond the clearly defined scope of the original retainer.</w:t>
      </w:r>
      <w:r/>
    </w:p>
    <w:p>
      <w:r/>
      <w:r>
        <w:t>To accentuate the need for precise and transparent professional conduct, various state bars, including those in California, Florida, New York, and New Jersey, have issued guidelines on the ethical use of AI in legal practice. They address essentials such as client confidentiality, the accuracy of information, and transparency regarding AI usage. Each state's guidance aligns with the ABA's overarching framework, urging legal professionals to remain cognizant of AI's potential biases and misinformation issues.</w:t>
      </w:r>
      <w:r/>
    </w:p>
    <w:p>
      <w:r/>
      <w:r>
        <w:t>As AI continues to integrate into the legal field, attorneys must balance its advanced capabilities with a steadfast commitment to ethical practices. This necessitates ongoing education and vigilance to ensure that technology enhances rather than undermines the practice of law. Legal professionals are encouraged to navigate AI’s advantages while rigorously upholding their ethical responsibilities.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https://www.avemarialaw.edu/thedarkside/</w:t>
        </w:r>
      </w:hyperlink>
      <w:r>
        <w:t xml:space="preserve"> - Corroborates the details of the Mata v. Avianca case, including the use of ChatGPT, the fabrication of judicial opinions, and the subsequent sanctions against the attorneys.</w:t>
      </w:r>
      <w:r/>
    </w:p>
    <w:p>
      <w:pPr>
        <w:pStyle w:val="ListNumber"/>
        <w:spacing w:line="240" w:lineRule="auto"/>
        <w:ind w:left="720"/>
      </w:pPr>
      <w:r/>
      <w:hyperlink r:id="rId11">
        <w:r>
          <w:rPr>
            <w:color w:val="0000EE"/>
            <w:u w:val="single"/>
          </w:rPr>
          <w:t>https://www.jdsupra.com/legalnews/a-brief-hallucination-by-generative-ai-8598039/</w:t>
        </w:r>
      </w:hyperlink>
      <w:r>
        <w:t xml:space="preserve"> - Provides additional details on the Mata v. Avianca case, including the filing of fictitious cases and the court's response, as well as ethical considerations and best practices for using generative AI.</w:t>
      </w:r>
      <w:r/>
    </w:p>
    <w:p>
      <w:pPr>
        <w:pStyle w:val="ListNumber"/>
        <w:spacing w:line="240" w:lineRule="auto"/>
        <w:ind w:left="720"/>
      </w:pPr>
      <w:r/>
      <w:hyperlink r:id="rId12">
        <w:r>
          <w:rPr>
            <w:color w:val="0000EE"/>
            <w:u w:val="single"/>
          </w:rPr>
          <w:t>https://www.acc.com/resource-library/practical-lessons-attorney-ai-missteps-mata-v-avianca</w:t>
        </w:r>
      </w:hyperlink>
      <w:r>
        <w:t xml:space="preserve"> - Outlines the practical lessons from the Mata v. Avianca case, emphasizing the need for attorneys to understand the strengths and limitations of AI and to carefully review AI-generated work.</w:t>
      </w:r>
      <w:r/>
    </w:p>
    <w:p>
      <w:pPr>
        <w:pStyle w:val="ListNumber"/>
        <w:spacing w:line="240" w:lineRule="auto"/>
        <w:ind w:left="720"/>
      </w:pPr>
      <w:r/>
      <w:hyperlink r:id="rId13">
        <w:r>
          <w:rPr>
            <w:color w:val="0000EE"/>
            <w:u w:val="single"/>
          </w:rPr>
          <w:t>https://news.bloomberglaw.com/us-law-week/courts-remain-skeptical-of-lawyers-use-of-chatgpt-in-litigation</w:t>
        </w:r>
      </w:hyperlink>
      <w:r>
        <w:t xml:space="preserve"> - Discusses the judicial skepticism towards generative AI tools, including the Mata v. Avianca case, and highlights the importance of transparency and supervision in using AI in legal practice.</w:t>
      </w:r>
      <w:r/>
    </w:p>
    <w:p>
      <w:pPr>
        <w:pStyle w:val="ListNumber"/>
        <w:spacing w:line="240" w:lineRule="auto"/>
        <w:ind w:left="720"/>
      </w:pPr>
      <w:r/>
      <w:hyperlink r:id="rId10">
        <w:r>
          <w:rPr>
            <w:color w:val="0000EE"/>
            <w:u w:val="single"/>
          </w:rPr>
          <w:t>https://www.avemarialaw.edu/thedarkside/</w:t>
        </w:r>
      </w:hyperlink>
      <w:r>
        <w:t xml:space="preserve"> - Addresses the ethical concerns related to client confidentiality and the risks associated with using AI tools like ChatGPT in legal practice.</w:t>
      </w:r>
      <w:r/>
    </w:p>
    <w:p>
      <w:pPr>
        <w:pStyle w:val="ListNumber"/>
        <w:spacing w:line="240" w:lineRule="auto"/>
        <w:ind w:left="720"/>
      </w:pPr>
      <w:r/>
      <w:hyperlink r:id="rId11">
        <w:r>
          <w:rPr>
            <w:color w:val="0000EE"/>
            <w:u w:val="single"/>
          </w:rPr>
          <w:t>https://www.jdsupra.com/legalnews/a-brief-hallucination-by-generative-ai-8598039/</w:t>
        </w:r>
      </w:hyperlink>
      <w:r>
        <w:t xml:space="preserve"> - Explains the Model Rules of Professional Conduct relevant to the use of generative AI, including duties of competence, supervision, and confidentiality.</w:t>
      </w:r>
      <w:r/>
    </w:p>
    <w:p>
      <w:pPr>
        <w:pStyle w:val="ListNumber"/>
        <w:spacing w:line="240" w:lineRule="auto"/>
        <w:ind w:left="720"/>
      </w:pPr>
      <w:r/>
      <w:hyperlink r:id="rId12">
        <w:r>
          <w:rPr>
            <w:color w:val="0000EE"/>
            <w:u w:val="single"/>
          </w:rPr>
          <w:t>https://www.acc.com/resource-library/practical-lessons-attorney-ai-missteps-mata-v-avianca</w:t>
        </w:r>
      </w:hyperlink>
      <w:r>
        <w:t xml:space="preserve"> - Highlights the importance of continuous education for legal professionals to keep pace with the evolution of GAI tools and the potential implications for legal malpractice claims.</w:t>
      </w:r>
      <w:r/>
    </w:p>
    <w:p>
      <w:pPr>
        <w:pStyle w:val="ListNumber"/>
        <w:spacing w:line="240" w:lineRule="auto"/>
        <w:ind w:left="720"/>
      </w:pPr>
      <w:r/>
      <w:hyperlink r:id="rId13">
        <w:r>
          <w:rPr>
            <w:color w:val="0000EE"/>
            <w:u w:val="single"/>
          </w:rPr>
          <w:t>https://news.bloomberglaw.com/us-law-week/courts-remain-skeptical-of-lawyers-use-of-chatgpt-in-litigation</w:t>
        </w:r>
      </w:hyperlink>
      <w:r>
        <w:t xml:space="preserve"> - Discusses the role of retainer agreements in defining the scope and terms of legal representation and the need for transparency in AI usage within these agreements.</w:t>
      </w:r>
      <w:r/>
    </w:p>
    <w:p>
      <w:pPr>
        <w:pStyle w:val="ListNumber"/>
        <w:spacing w:line="240" w:lineRule="auto"/>
        <w:ind w:left="720"/>
      </w:pPr>
      <w:r/>
      <w:hyperlink r:id="rId10">
        <w:r>
          <w:rPr>
            <w:color w:val="0000EE"/>
            <w:u w:val="single"/>
          </w:rPr>
          <w:t>https://www.avemarialaw.edu/thedarkside/</w:t>
        </w:r>
      </w:hyperlink>
      <w:r>
        <w:t xml:space="preserve"> - Mentions the guidelines issued by various state bars on the ethical use of AI in legal practice, aligning with the ABA's framework on client confidentiality, accuracy, and transparency.</w:t>
      </w:r>
      <w:r/>
    </w:p>
    <w:p>
      <w:pPr>
        <w:pStyle w:val="ListNumber"/>
        <w:spacing w:line="240" w:lineRule="auto"/>
        <w:ind w:left="720"/>
      </w:pPr>
      <w:r/>
      <w:hyperlink r:id="rId11">
        <w:r>
          <w:rPr>
            <w:color w:val="0000EE"/>
            <w:u w:val="single"/>
          </w:rPr>
          <w:t>https://www.jdsupra.com/legalnews/a-brief-hallucination-by-generative-ai-8598039/</w:t>
        </w:r>
      </w:hyperlink>
      <w:r>
        <w:t xml:space="preserve"> - Emphasizes the need for attorneys to balance AI's capabilities with a commitment to ethical practices, including ongoing education and vigilance.</w:t>
      </w:r>
      <w:r/>
    </w:p>
    <w:p>
      <w:pPr>
        <w:pStyle w:val="ListNumber"/>
        <w:spacing w:line="240" w:lineRule="auto"/>
        <w:ind w:left="720"/>
      </w:pPr>
      <w:r/>
      <w:hyperlink r:id="rId13">
        <w:r>
          <w:rPr>
            <w:color w:val="0000EE"/>
            <w:u w:val="single"/>
          </w:rPr>
          <w:t>https://news.bloomberglaw.com/us-law-week/courts-remain-skeptical-of-lawyers-use-of-chatgpt-in-litigation</w:t>
        </w:r>
      </w:hyperlink>
      <w:r>
        <w:t xml:space="preserve"> - Highlights the potential biases and misinformation issues associated with AI and the importance of legal professionals remaining cognizant of these risks.</w:t>
      </w:r>
      <w:r/>
    </w:p>
    <w:p>
      <w:pPr>
        <w:pStyle w:val="ListNumber"/>
        <w:spacing w:line="240" w:lineRule="auto"/>
        <w:ind w:left="720"/>
      </w:pPr>
      <w:r/>
      <w:hyperlink r:id="rId14">
        <w:r>
          <w:rPr>
            <w:color w:val="0000EE"/>
            <w:u w:val="single"/>
          </w:rPr>
          <w:t>https://natlawreview.com/article/new-aba-guidance-generative-artificial-intelligence-use-what-it-means-legal</w:t>
        </w:r>
      </w:hyperlink>
      <w:r>
        <w:t xml:space="preserve"> - Please view link - unable to able to access data</w:t>
      </w:r>
      <w:r/>
    </w:p>
    <w:p>
      <w:pPr>
        <w:pStyle w:val="ListNumber"/>
        <w:spacing w:line="240" w:lineRule="auto"/>
        <w:ind w:left="720"/>
      </w:pPr>
      <w:r/>
      <w:hyperlink r:id="rId15">
        <w:r>
          <w:rPr>
            <w:color w:val="0000EE"/>
            <w:u w:val="single"/>
          </w:rPr>
          <w:t>https://natlawreview.com/article/if-its-not-its-out-crucial-role-retainer-agreements</w:t>
        </w:r>
      </w:hyperlink>
      <w:r>
        <w:t xml:space="preserve"> - Please view link - unable to able to access data</w:t>
      </w:r>
      <w:r/>
    </w:p>
    <w:p>
      <w:pPr>
        <w:pStyle w:val="ListNumber"/>
        <w:spacing w:line="240" w:lineRule="auto"/>
        <w:ind w:left="720"/>
      </w:pPr>
      <w:r/>
      <w:hyperlink r:id="rId16">
        <w:r>
          <w:rPr>
            <w:color w:val="0000EE"/>
            <w:u w:val="single"/>
          </w:rPr>
          <w:t>https://www.jdsupra.com/legalnews/navigating-ethical-ai-guidelines-from-1371123/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emarialaw.edu/thedarkside/" TargetMode="External"/><Relationship Id="rId11" Type="http://schemas.openxmlformats.org/officeDocument/2006/relationships/hyperlink" Target="https://www.jdsupra.com/legalnews/a-brief-hallucination-by-generative-ai-8598039/" TargetMode="External"/><Relationship Id="rId12" Type="http://schemas.openxmlformats.org/officeDocument/2006/relationships/hyperlink" Target="https://www.acc.com/resource-library/practical-lessons-attorney-ai-missteps-mata-v-avianca" TargetMode="External"/><Relationship Id="rId13" Type="http://schemas.openxmlformats.org/officeDocument/2006/relationships/hyperlink" Target="https://news.bloomberglaw.com/us-law-week/courts-remain-skeptical-of-lawyers-use-of-chatgpt-in-litigation" TargetMode="External"/><Relationship Id="rId14" Type="http://schemas.openxmlformats.org/officeDocument/2006/relationships/hyperlink" Target="https://natlawreview.com/article/new-aba-guidance-generative-artificial-intelligence-use-what-it-means-legal" TargetMode="External"/><Relationship Id="rId15" Type="http://schemas.openxmlformats.org/officeDocument/2006/relationships/hyperlink" Target="https://natlawreview.com/article/if-its-not-its-out-crucial-role-retainer-agreements" TargetMode="External"/><Relationship Id="rId16" Type="http://schemas.openxmlformats.org/officeDocument/2006/relationships/hyperlink" Target="https://www.jdsupra.com/legalnews/navigating-ethical-ai-guidelines-from-13711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