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imperative of establishing corporate AI policies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Imperative of Establishing Corporate AI Policies in the Workplace</w:t>
      </w:r>
      <w:r/>
    </w:p>
    <w:p>
      <w:r/>
      <w:r>
        <w:t>In a rapidly evolving technological landscape, the integration of Artificial Intelligence (AI) within the corporate sphere has become an inevitable development. The AI revolution is not only reshaping industries but also challenging organizations to address a myriad of considerations to effectively manage its implementation and mitigate associated risks. For business leaders, crafting a comprehensive corporate policy on the use of AI in the workplace has become imperative.</w:t>
      </w:r>
      <w:r/>
    </w:p>
    <w:p>
      <w:r/>
      <w:r>
        <w:t>The need for such policies arises from the growing presence of AI technologies across various business operations. These technologies hold significant potential to enhance productivity, streamline processes, and deliver valuable insights. However, their integration also brings about challenges relating to ethical use, data privacy, security, and potential bias in algorithms. Consequently, organizations must approach AI adoption with a strategic mindset that encompasses practical implementation, rigorous oversight, and robust risk management.</w:t>
      </w:r>
      <w:r/>
    </w:p>
    <w:p>
      <w:r/>
      <w:r>
        <w:t>Formulating an effective AI policy involves several layers of consideration. Firstly, business leaders need to establish clear objectives for AI utilization that align with the company's overarching strategic goals. This ensures that AI initiatives are purpose-driven and effectively contribute to business growth.</w:t>
      </w:r>
      <w:r/>
    </w:p>
    <w:p>
      <w:r/>
      <w:r>
        <w:t>Secondly, it is crucial to define roles and responsibilities pertaining to AI oversight within the organization. This includes appointing a dedicated team or individual responsible for monitoring AI systems, evaluating their performance, and ensuring compliance with established guidelines.</w:t>
      </w:r>
      <w:r/>
    </w:p>
    <w:p>
      <w:r/>
      <w:r>
        <w:t>Moreover, risk management plays a pivotal role in crafting AI policies. Companies must assess potential risks associated with AI deployment and develop strategies to mitigate them. This might involve conducting impact assessments, implementing robust data protection mechanisms, and establishing protocols for addressing ethical concerns.</w:t>
      </w:r>
      <w:r/>
    </w:p>
    <w:p>
      <w:r/>
      <w:r>
        <w:t>Additionally, continuous education and training for employees across all levels are essential to ensure smooth AI integration. Staff should be equipped with the necessary knowledge and skills to work effectively alongside AI technologies and understand their implications in daily operations.</w:t>
      </w:r>
      <w:r/>
    </w:p>
    <w:p>
      <w:r/>
      <w:r>
        <w:t>As legal landscapes evolve alongside technological advancements, organizations are also advised to seek tailored legal counsel to address specific concerns and ensure compliance with relevant regulations.</w:t>
      </w:r>
      <w:r/>
    </w:p>
    <w:p>
      <w:r/>
      <w:r>
        <w:t>This push towards establishing well-defined AI policies underscores the broader narrative of navigating the complex interplay between technology and business, while safeguarding ethical standards and organizational integrity. As AI continues to proliferate, the manner in which companies manage its integration will play a crucial role in determining their future success and sustainability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https://noahwire.com/terms/</w:t>
        </w:r>
      </w:hyperlink>
      <w:r>
        <w:t xml:space="preserve"> - This link corroborates the importance of defining roles and responsibilities, risk management, and compliance with regulations in the context of AI policy, as it outlines the terms and conditions of using AI-driven news content generation services.</w:t>
      </w:r>
      <w:r/>
    </w:p>
    <w:p>
      <w:pPr>
        <w:pStyle w:val="ListNumber"/>
        <w:spacing w:line="240" w:lineRule="auto"/>
        <w:ind w:left="720"/>
      </w:pPr>
      <w:r/>
      <w:hyperlink r:id="rId10">
        <w:r>
          <w:rPr>
            <w:color w:val="0000EE"/>
            <w:u w:val="single"/>
          </w:rPr>
          <w:t>https://noahwire.com/terms/</w:t>
        </w:r>
      </w:hyperlink>
      <w:r>
        <w:t xml:space="preserve"> - This link supports the need for risk management and compliance, as it details how Noah Wire Services handles client data, ensures confidentiality, and complies with data protection laws like GDPR.</w:t>
      </w:r>
      <w:r/>
    </w:p>
    <w:p>
      <w:pPr>
        <w:pStyle w:val="ListNumber"/>
        <w:spacing w:line="240" w:lineRule="auto"/>
        <w:ind w:left="720"/>
      </w:pPr>
      <w:r/>
      <w:hyperlink r:id="rId10">
        <w:r>
          <w:rPr>
            <w:color w:val="0000EE"/>
            <w:u w:val="single"/>
          </w:rPr>
          <w:t>https://noahwire.com/terms/</w:t>
        </w:r>
      </w:hyperlink>
      <w:r>
        <w:t xml:space="preserve"> - This link highlights the importance of continuous education and training, as it implies the need for clients to understand how to use the AI-driven services effectively, although it does not explicitly mention employee training.</w:t>
      </w:r>
      <w:r/>
    </w:p>
    <w:p>
      <w:pPr>
        <w:pStyle w:val="ListNumber"/>
        <w:spacing w:line="240" w:lineRule="auto"/>
        <w:ind w:left="720"/>
      </w:pPr>
      <w:r/>
      <w:hyperlink r:id="rId10">
        <w:r>
          <w:rPr>
            <w:color w:val="0000EE"/>
            <w:u w:val="single"/>
          </w:rPr>
          <w:t>https://noahwire.com/terms/</w:t>
        </w:r>
      </w:hyperlink>
      <w:r>
        <w:t xml:space="preserve"> - This link underscores the importance of legal counsel and compliance with regulations, as it mentions that the terms and conditions are governed by the laws of England and Wales and require compliance with applicable laws.</w:t>
      </w:r>
      <w:r/>
    </w:p>
    <w:p>
      <w:pPr>
        <w:pStyle w:val="ListNumber"/>
        <w:spacing w:line="240" w:lineRule="auto"/>
        <w:ind w:left="720"/>
      </w:pPr>
      <w:r/>
      <w:hyperlink r:id="rId10">
        <w:r>
          <w:rPr>
            <w:color w:val="0000EE"/>
            <w:u w:val="single"/>
          </w:rPr>
          <w:t>https://noahwire.com/terms/</w:t>
        </w:r>
      </w:hyperlink>
      <w:r>
        <w:t xml:space="preserve"> - This link supports the need for clear objectives and strategic goals, as it describes how Noah Wire Services' AI-driven services are designed to revolutionize news content generation in alignment with clients' needs.</w:t>
      </w:r>
      <w:r/>
    </w:p>
    <w:p>
      <w:pPr>
        <w:pStyle w:val="ListNumber"/>
        <w:spacing w:line="240" w:lineRule="auto"/>
        <w:ind w:left="720"/>
      </w:pPr>
      <w:r/>
      <w:hyperlink r:id="rId11">
        <w:r>
          <w:rPr>
            <w:color w:val="0000EE"/>
            <w:u w:val="single"/>
          </w:rPr>
          <w:t>https://noahwire.com/</w:t>
        </w:r>
      </w:hyperlink>
      <w:r>
        <w:t xml:space="preserve"> - This link explains how AI technologies can enhance productivity and deliver valuable insights, as it describes the capabilities of Noah Wire Services' AI-driven news content generation.</w:t>
      </w:r>
      <w:r/>
    </w:p>
    <w:p>
      <w:pPr>
        <w:pStyle w:val="ListNumber"/>
        <w:spacing w:line="240" w:lineRule="auto"/>
        <w:ind w:left="720"/>
      </w:pPr>
      <w:r/>
      <w:hyperlink r:id="rId11">
        <w:r>
          <w:rPr>
            <w:color w:val="0000EE"/>
            <w:u w:val="single"/>
          </w:rPr>
          <w:t>https://noahwire.com/</w:t>
        </w:r>
      </w:hyperlink>
      <w:r>
        <w:t xml:space="preserve"> - This link highlights the potential of AI to streamline processes, as it details how the proprietary software reads, sorts, and indexes large volumes of news releases and academic data in real-time.</w:t>
      </w:r>
      <w:r/>
    </w:p>
    <w:p>
      <w:pPr>
        <w:pStyle w:val="ListNumber"/>
        <w:spacing w:line="240" w:lineRule="auto"/>
        <w:ind w:left="720"/>
      </w:pPr>
      <w:r/>
      <w:hyperlink r:id="rId12">
        <w:r>
          <w:rPr>
            <w:color w:val="0000EE"/>
            <w:u w:val="single"/>
          </w:rPr>
          <w:t>https://www.scamadviser.com/check-website/noahwire.com</w:t>
        </w:r>
      </w:hyperlink>
      <w:r>
        <w:t xml:space="preserve"> - This link indirectly supports the importance of data privacy and security, as it mentions the presence of a valid SSL certificate and other security measures on the Noah Wire Services website.</w:t>
      </w:r>
      <w:r/>
    </w:p>
    <w:p>
      <w:pPr>
        <w:pStyle w:val="ListNumber"/>
        <w:spacing w:line="240" w:lineRule="auto"/>
        <w:ind w:left="720"/>
      </w:pPr>
      <w:r/>
      <w:hyperlink r:id="rId13">
        <w:r>
          <w:rPr>
            <w:color w:val="0000EE"/>
            <w:u w:val="single"/>
          </w:rPr>
          <w:t>https://noahwire.com/privacy-policy/</w:t>
        </w:r>
      </w:hyperlink>
      <w:r>
        <w:t xml:space="preserve"> - This link corroborates the need for robust data protection mechanisms, as it outlines how Noah Wire Services collects, uses, and protects user data, including IP addresses and browser user agent strings.</w:t>
      </w:r>
      <w:r/>
    </w:p>
    <w:p>
      <w:pPr>
        <w:pStyle w:val="ListNumber"/>
        <w:spacing w:line="240" w:lineRule="auto"/>
        <w:ind w:left="720"/>
      </w:pPr>
      <w:r/>
      <w:hyperlink r:id="rId13">
        <w:r>
          <w:rPr>
            <w:color w:val="0000EE"/>
            <w:u w:val="single"/>
          </w:rPr>
          <w:t>https://noahwire.com/privacy-policy/</w:t>
        </w:r>
      </w:hyperlink>
      <w:r>
        <w:t xml:space="preserve"> - This link supports the importance of addressing ethical concerns, as it details the handling of user data and the use of automated spam detection services, which imply ethical considerations in data management.</w:t>
      </w:r>
      <w:r/>
    </w:p>
    <w:p>
      <w:pPr>
        <w:pStyle w:val="ListNumber"/>
        <w:spacing w:line="240" w:lineRule="auto"/>
        <w:ind w:left="720"/>
      </w:pPr>
      <w:r/>
      <w:hyperlink r:id="rId10">
        <w:r>
          <w:rPr>
            <w:color w:val="0000EE"/>
            <w:u w:val="single"/>
          </w:rPr>
          <w:t>https://noahwire.com/terms/</w:t>
        </w:r>
      </w:hyperlink>
      <w:r>
        <w:t xml:space="preserve"> - This link emphasizes the importance of ethical standards and organizational integrity, as it requires clients to use the services for lawful purposes and to comply with all applicable laws, including data protection regulations.</w:t>
      </w:r>
      <w:r/>
    </w:p>
    <w:p>
      <w:pPr>
        <w:pStyle w:val="ListNumber"/>
        <w:spacing w:line="240" w:lineRule="auto"/>
        <w:ind w:left="720"/>
      </w:pPr>
      <w:r/>
      <w:hyperlink r:id="rId14">
        <w:r>
          <w:rPr>
            <w:color w:val="0000EE"/>
            <w:u w:val="single"/>
          </w:rPr>
          <w:t>https://www.jdsupra.com/legalnews/developing-a-smart-corporate-ai-policy-2049120/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terms/" TargetMode="External"/><Relationship Id="rId11" Type="http://schemas.openxmlformats.org/officeDocument/2006/relationships/hyperlink" Target="https://noahwire.com/"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privacy-policy/" TargetMode="External"/><Relationship Id="rId14" Type="http://schemas.openxmlformats.org/officeDocument/2006/relationships/hyperlink" Target="https://www.jdsupra.com/legalnews/developing-a-smart-corporate-ai-policy-20491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