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Deutsche Bank and Kodex AI launch whitepaper on generative AI in banking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Deutsche Bank has teamed up with Berlin-based tech start-up, Kodex AI, to debut a pioneering whitepaper entitled ‘Adopting Generative AI in Banking’. This latest document is crafted to guide the financial services sector in optimising the capabilities of Generative AI (Gen AI) for heightened efficiency and innovation. The collaboration signifies an important step in integrating advanced AI technology into the financial industry, highlighting a growing trend of banks adopting cutting-edge technologies to remain competitive and enhance service delivery.</w:t>
      </w:r>
      <w:r/>
    </w:p>
    <w:p>
      <w:r/>
      <w:r>
        <w:t>The whitepaper, authored by Thomas Kaiser and Delane Zahoruiko from Kodex AI, alongside Boon Hiong Chan from Deutsche Bank, was developed following Deutsche Bank's investment in Kodex AI earlier in 2023 through its Corporate Venture Capital Group. This document provides a thorough examination of the potential of Gen AI systems and offers strategic insights tailored for companies embarking on their AI journey.</w:t>
      </w:r>
      <w:r/>
    </w:p>
    <w:p>
      <w:r/>
      <w:r>
        <w:t xml:space="preserve">Key recommendations present in the paper encourage the establishment of industry-level test datasets, clear AI usage policies, the creation of AI sandboxes, and the streamlining of regulations. It also introduces a strategic roadmap labelled as "composable Gen AI", designed to assist companies in the initial stages of AI integration. The approach taken in the paper is both business and technical, aiming to enlighten companies on the significant influence Gen AI systems can wield within the financial sector. </w:t>
      </w:r>
      <w:r/>
    </w:p>
    <w:p>
      <w:r/>
      <w:r>
        <w:t>The paper delves into the integral components for successful Gen AI implementation, focusing on essential elements such as high-quality data, suitable technology, and the differentiation between different Gen AI models. It also presents methodologies to construct Gen AI use case portfolios while identifying optimal applications based on specific company requirements. In addition, the report addresses several risks associated with implementing Gen AI, including data security, system integrity, cyber security, dependencies, and sustainability challenges, all of which are pertinent concerns in the financial industry.</w:t>
      </w:r>
      <w:r/>
    </w:p>
    <w:p>
      <w:r/>
      <w:r>
        <w:t>Boon Hiong Chan, Deutsche Bank’s Asia Pacific Head of Securities &amp; Technology Advocacy and Industry Applied Innovation Lead, emphasised the transformative potential of Gen AI, describing it as a sophisticated human-computer interface that makes technology more accessible to everyday users. He noted that the financial services sector is poised to harness unprecedented growth through practical application and balanced oversight, ultimately turning potential technologies into impactful realities.</w:t>
      </w:r>
      <w:r/>
    </w:p>
    <w:p>
      <w:r/>
      <w:r>
        <w:t>Echoing these sentiments, Thomas Kaiser, Co-Founder of Kodex AI, stated that their proprietary Gen AI models significantly simplify the analysis of extensive sets of regulatory documents, highlighting the transformation Gen AI can bring to the financial sector. He reaffirmed Kodex AI’s dedication to overcoming the challenges of Gen AI adoption through strategic frameworks and practical guidance.</w:t>
      </w:r>
      <w:r/>
    </w:p>
    <w:p>
      <w:r/>
      <w:r>
        <w:t>This whitepaper is a testament to the collaborative effort between a traditional banking institution and a forward-thinking AI start-up, aiming to propel the financial industry into a future steered by advanced technology. With detailed insights and a strategic pathway outlined, financial professionals are offered a framework to navigate the often complex process of AI adoption.</w:t>
      </w:r>
      <w:r/>
    </w:p>
    <w:p>
      <w:r/>
      <w:r>
        <w:t>For those interested, the whitepaper ‘Adopting Generative AI in Banking’ is available for download on Deutsche Bank's corporate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https://corporates.db.com/files/documents/publications/whitepaper-Adopting-Generative-AI-in-Banking.pdf</w:t>
        </w:r>
      </w:hyperlink>
      <w:r>
        <w:t xml:space="preserve"> - This URL corroborates the details of the whitepaper 'Adopting Generative AI in Banking' and its authors, as well as the recommendations and strategic insights provided in the document.</w:t>
      </w:r>
      <w:r/>
    </w:p>
    <w:p>
      <w:pPr>
        <w:pStyle w:val="ListNumber"/>
        <w:spacing w:line="240" w:lineRule="auto"/>
        <w:ind w:left="720"/>
      </w:pPr>
      <w:r/>
      <w:hyperlink r:id="rId10">
        <w:r>
          <w:rPr>
            <w:color w:val="0000EE"/>
            <w:u w:val="single"/>
          </w:rPr>
          <w:t>https://corporates.db.com/files/documents/publications/whitepaper-Adopting-Generative-AI-in-Banking.pdf</w:t>
        </w:r>
      </w:hyperlink>
      <w:r>
        <w:t xml:space="preserve"> - This URL supports the information about the establishment of industry-level test datasets, clear AI usage policies, AI sandboxes, and the streamlining of regulations.</w:t>
      </w:r>
      <w:r/>
    </w:p>
    <w:p>
      <w:pPr>
        <w:pStyle w:val="ListNumber"/>
        <w:spacing w:line="240" w:lineRule="auto"/>
        <w:ind w:left="720"/>
      </w:pPr>
      <w:r/>
      <w:hyperlink r:id="rId10">
        <w:r>
          <w:rPr>
            <w:color w:val="0000EE"/>
            <w:u w:val="single"/>
          </w:rPr>
          <w:t>https://corporates.db.com/files/documents/publications/whitepaper-Adopting-Generative-AI-in-Banking.pdf</w:t>
        </w:r>
      </w:hyperlink>
      <w:r>
        <w:t xml:space="preserve"> - This URL explains the 'composable Gen AI' roadmap and the focus on high-quality data, suitable technology, and differentiation between Gen AI models.</w:t>
      </w:r>
      <w:r/>
    </w:p>
    <w:p>
      <w:pPr>
        <w:pStyle w:val="ListNumber"/>
        <w:spacing w:line="240" w:lineRule="auto"/>
        <w:ind w:left="720"/>
      </w:pPr>
      <w:r/>
      <w:hyperlink r:id="rId10">
        <w:r>
          <w:rPr>
            <w:color w:val="0000EE"/>
            <w:u w:val="single"/>
          </w:rPr>
          <w:t>https://corporates.db.com/files/documents/publications/whitepaper-Adopting-Generative-AI-in-Banking.pdf</w:t>
        </w:r>
      </w:hyperlink>
      <w:r>
        <w:t xml:space="preserve"> - This URL addresses the methodologies for constructing Gen AI use case portfolios and identifying optimal applications based on company requirements.</w:t>
      </w:r>
      <w:r/>
    </w:p>
    <w:p>
      <w:pPr>
        <w:pStyle w:val="ListNumber"/>
        <w:spacing w:line="240" w:lineRule="auto"/>
        <w:ind w:left="720"/>
      </w:pPr>
      <w:r/>
      <w:hyperlink r:id="rId10">
        <w:r>
          <w:rPr>
            <w:color w:val="0000EE"/>
            <w:u w:val="single"/>
          </w:rPr>
          <w:t>https://corporates.db.com/files/documents/publications/whitepaper-Adopting-Generative-AI-in-Banking.pdf</w:t>
        </w:r>
      </w:hyperlink>
      <w:r>
        <w:t xml:space="preserve"> - This URL discusses the risks associated with implementing Gen AI, including data security, system integrity, cyber security, dependencies, and sustainability challenges.</w:t>
      </w:r>
      <w:r/>
    </w:p>
    <w:p>
      <w:pPr>
        <w:pStyle w:val="ListNumber"/>
        <w:spacing w:line="240" w:lineRule="auto"/>
        <w:ind w:left="720"/>
      </w:pPr>
      <w:r/>
      <w:hyperlink r:id="rId11">
        <w:r>
          <w:rPr>
            <w:color w:val="0000EE"/>
            <w:u w:val="single"/>
          </w:rPr>
          <w:t>https://www.oliverwyman.com/our-expertise/insights/2023/dec/generative-ai-potential-in-banking.html</w:t>
        </w:r>
      </w:hyperlink>
      <w:r>
        <w:t xml:space="preserve"> - This URL supports the general trend of banks adopting cutting-edge technologies like Gen AI to remain competitive and enhance service delivery.</w:t>
      </w:r>
      <w:r/>
    </w:p>
    <w:p>
      <w:pPr>
        <w:pStyle w:val="ListNumber"/>
        <w:spacing w:line="240" w:lineRule="auto"/>
        <w:ind w:left="720"/>
      </w:pPr>
      <w:r/>
      <w:hyperlink r:id="rId12">
        <w:r>
          <w:rPr>
            <w:color w:val="0000EE"/>
            <w:u w:val="single"/>
          </w:rPr>
          <w:t>https://www.ibm.com/think/topics/generative-ai-banking</w:t>
        </w:r>
      </w:hyperlink>
      <w:r>
        <w:t xml:space="preserve"> - This URL corroborates the transformative potential of Gen AI in the financial sector, including its use in automating tasks, enhancing customer service, and detecting fraud.</w:t>
      </w:r>
      <w:r/>
    </w:p>
    <w:p>
      <w:pPr>
        <w:pStyle w:val="ListNumber"/>
        <w:spacing w:line="240" w:lineRule="auto"/>
        <w:ind w:left="720"/>
      </w:pPr>
      <w:r/>
      <w:hyperlink r:id="rId12">
        <w:r>
          <w:rPr>
            <w:color w:val="0000EE"/>
            <w:u w:val="single"/>
          </w:rPr>
          <w:t>https://www.ibm.com/think/topics/generative-ai-banking</w:t>
        </w:r>
      </w:hyperlink>
      <w:r>
        <w:t xml:space="preserve"> - This URL highlights the integration of Gen AI in banking for tasks such as regulatory compliance, credit approval, and loan underwriting.</w:t>
      </w:r>
      <w:r/>
    </w:p>
    <w:p>
      <w:pPr>
        <w:pStyle w:val="ListNumber"/>
        <w:spacing w:line="240" w:lineRule="auto"/>
        <w:ind w:left="720"/>
      </w:pPr>
      <w:r/>
      <w:hyperlink r:id="rId13">
        <w:r>
          <w:rPr>
            <w:color w:val="0000EE"/>
            <w:u w:val="single"/>
          </w:rPr>
          <w:t>https://www.mckinsey.com/capabilities/risk-and-resilience/our-insights/how-generative-ai-can-help-banks-manage-risk-and-compliance</w:t>
        </w:r>
      </w:hyperlink>
      <w:r>
        <w:t xml:space="preserve"> - This URL supports the use of Gen AI in risk management, compliance, and various other risk functions within the banking industry.</w:t>
      </w:r>
      <w:r/>
    </w:p>
    <w:p>
      <w:pPr>
        <w:pStyle w:val="ListNumber"/>
        <w:spacing w:line="240" w:lineRule="auto"/>
        <w:ind w:left="720"/>
      </w:pPr>
      <w:r/>
      <w:hyperlink r:id="rId14">
        <w:r>
          <w:rPr>
            <w:color w:val="0000EE"/>
            <w:u w:val="single"/>
          </w:rPr>
          <w:t>https://aisera.com/blog/generative-ai-in-banking/</w:t>
        </w:r>
      </w:hyperlink>
      <w:r>
        <w:t xml:space="preserve"> - This URL provides additional context on the key use cases and applications of Gen AI in banking, including data interpretation, fraud detection, and personalized services.</w:t>
      </w:r>
      <w:r/>
    </w:p>
    <w:p>
      <w:pPr>
        <w:pStyle w:val="ListNumber"/>
        <w:spacing w:line="240" w:lineRule="auto"/>
        <w:ind w:left="720"/>
      </w:pPr>
      <w:r/>
      <w:hyperlink r:id="rId14">
        <w:r>
          <w:rPr>
            <w:color w:val="0000EE"/>
            <w:u w:val="single"/>
          </w:rPr>
          <w:t>https://aisera.com/blog/generative-ai-in-banking/</w:t>
        </w:r>
      </w:hyperlink>
      <w:r>
        <w:t xml:space="preserve"> - This URL echoes the importance of strategic road mapping, talent acquisition, and upskilling in implementing Gen AI initiatives in the banking sector.</w:t>
      </w:r>
      <w:r/>
    </w:p>
    <w:p>
      <w:pPr>
        <w:pStyle w:val="ListNumber"/>
        <w:spacing w:line="240" w:lineRule="auto"/>
        <w:ind w:left="720"/>
      </w:pPr>
      <w:r/>
      <w:hyperlink r:id="rId15">
        <w:r>
          <w:rPr>
            <w:color w:val="0000EE"/>
            <w:u w:val="single"/>
          </w:rPr>
          <w:t>https://ffnews.com/newsarticle/fintech/deutsche-bank-and-kodex-ai-launch-whitepaper-to-explore-the-transformative-potential-of-generative-ai-in-banking/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rporates.db.com/files/documents/publications/whitepaper-Adopting-Generative-AI-in-Banking.pdf" TargetMode="External"/><Relationship Id="rId11" Type="http://schemas.openxmlformats.org/officeDocument/2006/relationships/hyperlink" Target="https://www.oliverwyman.com/our-expertise/insights/2023/dec/generative-ai-potential-in-banking.html" TargetMode="External"/><Relationship Id="rId12" Type="http://schemas.openxmlformats.org/officeDocument/2006/relationships/hyperlink" Target="https://www.ibm.com/think/topics/generative-ai-banking" TargetMode="External"/><Relationship Id="rId13" Type="http://schemas.openxmlformats.org/officeDocument/2006/relationships/hyperlink" Target="https://www.mckinsey.com/capabilities/risk-and-resilience/our-insights/how-generative-ai-can-help-banks-manage-risk-and-compliance" TargetMode="External"/><Relationship Id="rId14" Type="http://schemas.openxmlformats.org/officeDocument/2006/relationships/hyperlink" Target="https://aisera.com/blog/generative-ai-in-banking/" TargetMode="External"/><Relationship Id="rId15" Type="http://schemas.openxmlformats.org/officeDocument/2006/relationships/hyperlink" Target="https://ffnews.com/newsarticle/fintech/deutsche-bank-and-kodex-ai-launch-whitepaper-to-explore-the-transformative-potential-of-generative-ai-in-ban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