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Investors urged to watch AI altcoins as market faces potential corrections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cryptocurrency, artificial intelligence-driven altcoins have garnered significant attention as 2024 progresses. Despite a general market rally expected in the fourth quarter, a number of these digital assets may face challenges that could lead to underperformance. As October unfolds, five particular AI tokens — TAO, ICP, RENDER, GRT, and GLM — are being earmarked as assets to monitor closely due to potential downturns.</w:t>
      </w:r>
      <w:r/>
    </w:p>
    <w:p>
      <w:r/>
      <w:r>
        <w:t>Bittensor (TAO) is among these tokens, part of a decentralized AI network facilitating users to earn rewards for sharing machine-learning models. The coin saw an impressive price hike from $219 to $682 between September and early October, marking a 210% increase. However, with the current trading price at $558, the asset may soon experience a correction if it falls below the $542 mark, tied to the 23.6% Fibonacci retracement level, indicating a possible significant decrease in value.</w:t>
      </w:r>
      <w:r/>
    </w:p>
    <w:p>
      <w:r/>
      <w:r>
        <w:t>Another token facing scrutiny is Internet Computer (ICP), which currently has a market cap of $3.79 billion and trades at $8.03. Over the last several months, ICP has exhibited a sideways trend, manifesting a bear pennant pattern — a sign that might foreshadow a return to bearish trends if a breakdown occurs, potentially cutting the price by another 4%.</w:t>
      </w:r>
      <w:r/>
    </w:p>
    <w:p>
      <w:r/>
      <w:r>
        <w:t>Render (RENDER) is noted for facilitating creators with decentralized GPU rendering services. While its price has remained relatively stable between $6.2 and $3.36 since June, a substantial increase in the supply held by top holders, from 51.5% to 74.6%, raises concerns about centralization and the associated risks of market influence by a small group.</w:t>
      </w:r>
      <w:r/>
    </w:p>
    <w:p>
      <w:r/>
      <w:r>
        <w:t>The Graph (GRT), trading at $0.17 with a market cap of $1.63 billion, similarly shows signs of vulnerability. Recent data reports a decrease in whale wallet holdings from 1 billion to 979.5 million since September, indicating that major investors may be liquidating their assets, which could suggest a lack of confidence or an anticipation of market declines.</w:t>
      </w:r>
      <w:r/>
    </w:p>
    <w:p>
      <w:r/>
      <w:r>
        <w:t>Finally, Golem (GLM), a platform for decentralised computing power trade, has seen its price stagnate below the $0.4 resistance level since June. The open interest in GLM futures has remained stable around $10.5 million, opining a neutral market sentiment, neither highly bullish nor bearish, thus predicting no immediate price shifts.</w:t>
      </w:r>
      <w:r/>
    </w:p>
    <w:p>
      <w:r/>
      <w:r>
        <w:t>The analysis of these AI altcoins paints a cautious picture of their short-term performance in what is often a volatile financial landscape. Analysts and traders like Sahil Mahadik, who have honed their skills in technical analysis, suggest that investors remain circumspect amidst the anticipated market corrections. As always, potential investors are reminded to conduct comprehensive research and consider market conditions before any financial engagements, especially within the dynamic world of cryptocurrency trading.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https://zebpay.com/blog/top-5-ai-crypto-coins</w:t>
        </w:r>
      </w:hyperlink>
      <w:r>
        <w:t xml:space="preserve"> - Provides information on Bittensor (TAO) and its role in a decentralized AI network, as well as details on other AI crypto coins like Render (RNDR) and The Graph (GRT).</w:t>
      </w:r>
      <w:r/>
    </w:p>
    <w:p>
      <w:pPr>
        <w:pStyle w:val="ListNumber"/>
        <w:spacing w:line="240" w:lineRule="auto"/>
        <w:ind w:left="720"/>
      </w:pPr>
      <w:r/>
      <w:hyperlink r:id="rId11">
        <w:r>
          <w:rPr>
            <w:color w:val="0000EE"/>
            <w:u w:val="single"/>
          </w:rPr>
          <w:t>https://www.tastycrypto.com/blog/best-ai-crypto-tokens/</w:t>
        </w:r>
      </w:hyperlink>
      <w:r>
        <w:t xml:space="preserve"> - Discusses Bittensor (TAO), Render (RNDR), and The Graph (GRT) among other AI crypto tokens, highlighting their potential and applications.</w:t>
      </w:r>
      <w:r/>
    </w:p>
    <w:p>
      <w:pPr>
        <w:pStyle w:val="ListNumber"/>
        <w:spacing w:line="240" w:lineRule="auto"/>
        <w:ind w:left="720"/>
      </w:pPr>
      <w:r/>
      <w:hyperlink r:id="rId12">
        <w:r>
          <w:rPr>
            <w:color w:val="0000EE"/>
            <w:u w:val="single"/>
          </w:rPr>
          <w:t>https://bravenewcoin.com/insights/top-ai-crypto-coins-for-september-2024-artificial-intelligence</w:t>
        </w:r>
      </w:hyperlink>
      <w:r>
        <w:t xml:space="preserve"> - Explains the integration of AI and blockchain, including projects like Bittensor and The Graph, and discusses the market performance of AI-related crypto projects.</w:t>
      </w:r>
      <w:r/>
    </w:p>
    <w:p>
      <w:pPr>
        <w:pStyle w:val="ListNumber"/>
        <w:spacing w:line="240" w:lineRule="auto"/>
        <w:ind w:left="720"/>
      </w:pPr>
      <w:r/>
      <w:hyperlink r:id="rId13">
        <w:r>
          <w:rPr>
            <w:color w:val="0000EE"/>
            <w:u w:val="single"/>
          </w:rPr>
          <w:t>https://nftevening.com/10-ai-crypto-coins-to-buy-early-for-2024/</w:t>
        </w:r>
      </w:hyperlink>
      <w:r>
        <w:t xml:space="preserve"> - Details the functionality and market dynamics of AI crypto coins such as Render (RNDR) and The Graph (GRT), and discusses their potential impact.</w:t>
      </w:r>
      <w:r/>
    </w:p>
    <w:p>
      <w:pPr>
        <w:pStyle w:val="ListNumber"/>
        <w:spacing w:line="240" w:lineRule="auto"/>
        <w:ind w:left="720"/>
      </w:pPr>
      <w:r/>
      <w:hyperlink r:id="rId11">
        <w:r>
          <w:rPr>
            <w:color w:val="0000EE"/>
            <w:u w:val="single"/>
          </w:rPr>
          <w:t>https://www.tastycrypto.com/blog/best-ai-crypto-tokens/</w:t>
        </w:r>
      </w:hyperlink>
      <w:r>
        <w:t xml:space="preserve"> - Mentions Internet Computer (ICP) as one of the AI crypto projects, although it does not specifically discuss its current market trends or technical analysis.</w:t>
      </w:r>
      <w:r/>
    </w:p>
    <w:p>
      <w:pPr>
        <w:pStyle w:val="ListNumber"/>
        <w:spacing w:line="240" w:lineRule="auto"/>
        <w:ind w:left="720"/>
      </w:pPr>
      <w:r/>
      <w:hyperlink r:id="rId10">
        <w:r>
          <w:rPr>
            <w:color w:val="0000EE"/>
            <w:u w:val="single"/>
          </w:rPr>
          <w:t>https://zebpay.com/blog/top-5-ai-crypto-coins</w:t>
        </w:r>
      </w:hyperlink>
      <w:r>
        <w:t xml:space="preserve"> - Provides an overview of Internet Computer (ICP) and its market capitalization, though it does not delve into the bear pennant pattern or specific price movements.</w:t>
      </w:r>
      <w:r/>
    </w:p>
    <w:p>
      <w:pPr>
        <w:pStyle w:val="ListNumber"/>
        <w:spacing w:line="240" w:lineRule="auto"/>
        <w:ind w:left="720"/>
      </w:pPr>
      <w:r/>
      <w:hyperlink r:id="rId13">
        <w:r>
          <w:rPr>
            <w:color w:val="0000EE"/>
            <w:u w:val="single"/>
          </w:rPr>
          <w:t>https://nftevening.com/10-ai-crypto-coins-to-buy-early-for-2024/</w:t>
        </w:r>
      </w:hyperlink>
      <w:r>
        <w:t xml:space="preserve"> - Discusses Render (RNDR) and its decentralized GPU rendering services, but does not specifically address the increase in supply held by top holders.</w:t>
      </w:r>
      <w:r/>
    </w:p>
    <w:p>
      <w:pPr>
        <w:pStyle w:val="ListNumber"/>
        <w:spacing w:line="240" w:lineRule="auto"/>
        <w:ind w:left="720"/>
      </w:pPr>
      <w:r/>
      <w:hyperlink r:id="rId10">
        <w:r>
          <w:rPr>
            <w:color w:val="0000EE"/>
            <w:u w:val="single"/>
          </w:rPr>
          <w:t>https://zebpay.com/blog/top-5-ai-crypto-coins</w:t>
        </w:r>
      </w:hyperlink>
      <w:r>
        <w:t xml:space="preserve"> - Explains The Graph (GRT) and its role in indexing blockchain data, but does not cover the recent decrease in whale wallet holdings.</w:t>
      </w:r>
      <w:r/>
    </w:p>
    <w:p>
      <w:pPr>
        <w:pStyle w:val="ListNumber"/>
        <w:spacing w:line="240" w:lineRule="auto"/>
        <w:ind w:left="720"/>
      </w:pPr>
      <w:r/>
      <w:hyperlink r:id="rId11">
        <w:r>
          <w:rPr>
            <w:color w:val="0000EE"/>
            <w:u w:val="single"/>
          </w:rPr>
          <w:t>https://www.tastycrypto.com/blog/best-ai-crypto-tokens/</w:t>
        </w:r>
      </w:hyperlink>
      <w:r>
        <w:t xml:space="preserve"> - Mentions Golem (GLM) as part of the AI crypto ecosystem, but does not discuss its price stagnation or open interest in GLM futures.</w:t>
      </w:r>
      <w:r/>
    </w:p>
    <w:p>
      <w:pPr>
        <w:pStyle w:val="ListNumber"/>
        <w:spacing w:line="240" w:lineRule="auto"/>
        <w:ind w:left="720"/>
      </w:pPr>
      <w:r/>
      <w:hyperlink r:id="rId12">
        <w:r>
          <w:rPr>
            <w:color w:val="0000EE"/>
            <w:u w:val="single"/>
          </w:rPr>
          <w:t>https://bravenewcoin.com/insights/top-ai-crypto-coins-for-september-2024-artificial-intelligence</w:t>
        </w:r>
      </w:hyperlink>
      <w:r>
        <w:t xml:space="preserve"> - Highlights the general volatility and potential corrections in the AI crypto market, advising caution and thorough research for investors.</w:t>
      </w:r>
      <w:r/>
    </w:p>
    <w:p>
      <w:pPr>
        <w:pStyle w:val="ListNumber"/>
        <w:spacing w:line="240" w:lineRule="auto"/>
        <w:ind w:left="720"/>
      </w:pPr>
      <w:r/>
      <w:hyperlink r:id="rId14">
        <w:r>
          <w:rPr>
            <w:color w:val="0000EE"/>
            <w:u w:val="single"/>
          </w:rPr>
          <w:t>https://coingape.com/markets/top-5-ai-altcoins-to-sell-before-the-end-of-october/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ebpay.com/blog/top-5-ai-crypto-coins" TargetMode="External"/><Relationship Id="rId11" Type="http://schemas.openxmlformats.org/officeDocument/2006/relationships/hyperlink" Target="https://www.tastycrypto.com/blog/best-ai-crypto-tokens/" TargetMode="External"/><Relationship Id="rId12" Type="http://schemas.openxmlformats.org/officeDocument/2006/relationships/hyperlink" Target="https://bravenewcoin.com/insights/top-ai-crypto-coins-for-september-2024-artificial-intelligence" TargetMode="External"/><Relationship Id="rId13" Type="http://schemas.openxmlformats.org/officeDocument/2006/relationships/hyperlink" Target="https://nftevening.com/10-ai-crypto-coins-to-buy-early-for-2024/" TargetMode="External"/><Relationship Id="rId14" Type="http://schemas.openxmlformats.org/officeDocument/2006/relationships/hyperlink" Target="https://coingape.com/markets/top-5-ai-altcoins-to-sell-before-the-end-of-octo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