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complexities of generative AI: Best practices for successful business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today's rapidly evolving technological landscape, the quest for integrating Generative AI (GenAI) into business operations has taken centre stage. However, despite the burgeoning interest in these sophisticated solutions, many companies find themselves facing failure in their implementation efforts. A recent report from digital strategy consultancy SparkOptimus offers a semblance of guidance through a compilation of best practices aimed at demystifying the muddy waters of GenAI deployment.</w:t>
      </w:r>
      <w:r/>
    </w:p>
    <w:p>
      <w:r/>
      <w:r>
        <w:t xml:space="preserve">Established in 2010 by former McKinsey &amp; Company consultants, SparkOptimus has positioned itself at the forefront of the digital consultancy landscape. The firm, which has experienced over 70% growth in each of the past five years, is acclaimed for its leadership in the Dutch digital strategy sector. It has supported a myriad of organisations in harnessing the power of digital innovations globally. </w:t>
      </w:r>
      <w:r/>
    </w:p>
    <w:p>
      <w:r/>
      <w:r>
        <w:t>Amidst the current fervour surrounding AI, SparkOptimus' practice lead for data and AI, Matti van Engelen, underscores the transformational impact GenAI can have on businesses. Van Engelen notes that GenAI not only enhances efficiencies within operations but also enriches customer experiences, a critical factor for competitive advantage. The company recently released a benchmark report curated from inputs from 15 leaders in the field, providing strategic insights into successful GenAI integration.</w:t>
      </w:r>
      <w:r/>
    </w:p>
    <w:p>
      <w:r/>
      <w:r>
        <w:t>One pivotal recommendation from the report is the emphasis on clarity regarding business value. According to SparkOptimus, the propensity for failure is often rooted in misaligned goals and inconsistent project directions. Companies are advised to concentrate on GenAI's immediate short-term value and to prioritise use cases that promise swift and significant returns when implemented on a broader scale.</w:t>
      </w:r>
      <w:r/>
    </w:p>
    <w:p>
      <w:r/>
      <w:r>
        <w:t>The report also cautions against innovation for its own sake. It highlights the importance of aligning technological advancements with genuine customer needs to ensure that enhancements such as GenAI are well-received and beneficial from the consumer's perspective. A well-defined vision of how GenAI will impact market channels and customer touchpoints is crucial.</w:t>
      </w:r>
      <w:r/>
    </w:p>
    <w:p>
      <w:r/>
      <w:r>
        <w:t>Furthermore, setting ambitious yet achievable targets is recommended to galvanise stakeholder engagement across the business. Clear communication of these goals can help secure executive buy-in and motivate staff, thus mitigating resistance to change. Ambitiously setting quantified objectives enables measurable progress tracking, facilitating the integration of short-term efficiencies and mid-term customer experience enhancements into the overall business strategy.</w:t>
      </w:r>
      <w:r/>
    </w:p>
    <w:p>
      <w:r/>
      <w:r>
        <w:t>Organisational alignment also tops the list as leaders are encouraged to foster collaboration between business and tech divisions across different regions and functions. Ensuring that use cases are uniformly leveraged across the organisation can enhance efficiency and prevent redundancy. An integrated approach between tech and business teams is vital to aligning technology investments with strategic business goals.</w:t>
      </w:r>
      <w:r/>
    </w:p>
    <w:p>
      <w:r/>
      <w:r>
        <w:t>GenAI transformations are advised to be executed in phases, promoting a small-scale testing approach to understand the effectiveness and potential challenges of the integration. By doing so, businesses can identify promising areas for rollout while establishing compliance frameworks, governance structures, and clearly defined roles to support global scaling.</w:t>
      </w:r>
      <w:r/>
    </w:p>
    <w:p>
      <w:r/>
      <w:r>
        <w:t>The technological and data infrastructure necessary for impact and scalability is also highlighted. GenAI frontrunners have shown the benefits of early investment in centralised tech and data platforms, which can significantly expedite local and global deployment while laying the groundwork for subsequent innovations.</w:t>
      </w:r>
      <w:r/>
    </w:p>
    <w:p>
      <w:r/>
      <w:r>
        <w:t>Recognising the need for accurate and up-to-date data, the report underscores the importance of robust data governance. With the popular phrase "garbage in, garbage out" serving as a cautionary reminder, accurate data feeding into GenAI systems is critical for achieving desired outcomes.</w:t>
      </w:r>
      <w:r/>
    </w:p>
    <w:p>
      <w:r/>
      <w:r>
        <w:t>Leadership plays an indispensable role in the successful deployment of GenAI, as exemplified by firms prioritising board-level advocacy and resource allocation for multi-year projects. The leadership’s continuous support is paramount in sustaining momentum and ensuring alignment with strategic objectives.</w:t>
      </w:r>
      <w:r/>
    </w:p>
    <w:p>
      <w:r/>
      <w:r>
        <w:t>The human element remains central amid technological transformation. SparkOptimus stresses that organisations should leverage existing talent pools and nurture them within cross-functional teams, thus enhancing their integration with business strategies and customer value. Additionally, upskilling the workforce stands as a fundamental pillar, equipping employees with the necessary competencies to harness GenAI effectively, potentially achieving a notable 20-40% efficiency improvement in routine business processes.</w:t>
      </w:r>
      <w:r/>
    </w:p>
    <w:p>
      <w:r/>
      <w:r>
        <w:t>Through these well-founded strategies, SparkOptimus provides a comprehensive pathway for organisations aspiring to harness the transformative potential of GenAI. The firm's insights, built on a robust foundation of industry expertise and rigorous analysis, offer businesses a chance to navigate the complexities of AI deployment with structured confidence.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https://www.sparkoptimus.com/digital-know-how/10-ways-generative-ai-is-delivering-real-value-to-the-industrial-sector</w:t>
        </w:r>
      </w:hyperlink>
      <w:r>
        <w:t xml:space="preserve"> - This article provides examples of how GenAI is delivering real value in the industrial sector, including automated interaction logging, personalized replies, and service visit preparation, which aligns with the transformative impact of GenAI on business operations.</w:t>
      </w:r>
      <w:r/>
    </w:p>
    <w:p>
      <w:pPr>
        <w:pStyle w:val="ListNumber"/>
        <w:spacing w:line="240" w:lineRule="auto"/>
        <w:ind w:left="720"/>
      </w:pPr>
      <w:r/>
      <w:hyperlink r:id="rId11">
        <w:r>
          <w:rPr>
            <w:color w:val="0000EE"/>
            <w:u w:val="single"/>
          </w:rPr>
          <w:t>https://www.consultancy.uk/news/38637/10-best-practices-from-leading-companies-in-generative-ai</w:t>
        </w:r>
      </w:hyperlink>
      <w:r>
        <w:t xml:space="preserve"> - This report from SparkOptimus highlights best practices for implementing GenAI, including the importance of clear business value, focusing on customer needs, and testing small and fast while setting up for scale.</w:t>
      </w:r>
      <w:r/>
    </w:p>
    <w:p>
      <w:pPr>
        <w:pStyle w:val="ListNumber"/>
        <w:spacing w:line="240" w:lineRule="auto"/>
        <w:ind w:left="720"/>
      </w:pPr>
      <w:r/>
      <w:hyperlink r:id="rId11">
        <w:r>
          <w:rPr>
            <w:color w:val="0000EE"/>
            <w:u w:val="single"/>
          </w:rPr>
          <w:t>https://www.consultancy.uk/news/38637/10-best-practices-from-leading-companies-in-generative-ai</w:t>
        </w:r>
      </w:hyperlink>
      <w:r>
        <w:t xml:space="preserve"> - The article discusses SparkOptimus' growth and its role in the digital strategy consultancy landscape, as well as the firm's expertise in helping organizations harness digital innovations.</w:t>
      </w:r>
      <w:r/>
    </w:p>
    <w:p>
      <w:pPr>
        <w:pStyle w:val="ListNumber"/>
        <w:spacing w:line="240" w:lineRule="auto"/>
        <w:ind w:left="720"/>
      </w:pPr>
      <w:r/>
      <w:hyperlink r:id="rId12">
        <w:r>
          <w:rPr>
            <w:color w:val="0000EE"/>
            <w:u w:val="single"/>
          </w:rPr>
          <w:t>https://www.rtinsights.com/genai-can-transform-business-operations-but-companies-must-walk-before-they-can-run-with-it/</w:t>
        </w:r>
      </w:hyperlink>
      <w:r>
        <w:t xml:space="preserve"> - This article emphasizes the need for a well-defined strategy, ensuring AI accuracy, quantifying the business case, prioritizing data quality, and implementing AI guardrails, all of which are crucial for successful GenAI implementation.</w:t>
      </w:r>
      <w:r/>
    </w:p>
    <w:p>
      <w:pPr>
        <w:pStyle w:val="ListNumber"/>
        <w:spacing w:line="240" w:lineRule="auto"/>
        <w:ind w:left="720"/>
      </w:pPr>
      <w:r/>
      <w:hyperlink r:id="rId13">
        <w:r>
          <w:rPr>
            <w:color w:val="0000EE"/>
            <w:u w:val="single"/>
          </w:rPr>
          <w:t>https://www.sparkoptimus.com/digital-know-how/implementing-generative-ai</w:t>
        </w:r>
      </w:hyperlink>
      <w:r>
        <w:t xml:space="preserve"> - The article outlines the importance of setting up a dedicated cross-functional team, avoiding complex automation from the start, and using a Business Sandbox approach for testing and validating GenAI use cases.</w:t>
      </w:r>
      <w:r/>
    </w:p>
    <w:p>
      <w:pPr>
        <w:pStyle w:val="ListNumber"/>
        <w:spacing w:line="240" w:lineRule="auto"/>
        <w:ind w:left="720"/>
      </w:pPr>
      <w:r/>
      <w:hyperlink r:id="rId13">
        <w:r>
          <w:rPr>
            <w:color w:val="0000EE"/>
            <w:u w:val="single"/>
          </w:rPr>
          <w:t>https://www.sparkoptimus.com/digital-know-how/implementing-generative-ai</w:t>
        </w:r>
      </w:hyperlink>
      <w:r>
        <w:t xml:space="preserve"> - It highlights the need for organizational alignment, clear communication of goals, and the integration of tech and business teams to align technology investments with business goals.</w:t>
      </w:r>
      <w:r/>
    </w:p>
    <w:p>
      <w:pPr>
        <w:pStyle w:val="ListNumber"/>
        <w:spacing w:line="240" w:lineRule="auto"/>
        <w:ind w:left="720"/>
      </w:pPr>
      <w:r/>
      <w:hyperlink r:id="rId11">
        <w:r>
          <w:rPr>
            <w:color w:val="0000EE"/>
            <w:u w:val="single"/>
          </w:rPr>
          <w:t>https://www.consultancy.uk/news/38637/10-best-practices-from-leading-companies-in-generative-ai</w:t>
        </w:r>
      </w:hyperlink>
      <w:r>
        <w:t xml:space="preserve"> - The report stresses the importance of early investment in central GenAI tech and data infrastructure for scalability and future growth.</w:t>
      </w:r>
      <w:r/>
    </w:p>
    <w:p>
      <w:pPr>
        <w:pStyle w:val="ListNumber"/>
        <w:spacing w:line="240" w:lineRule="auto"/>
        <w:ind w:left="720"/>
      </w:pPr>
      <w:r/>
      <w:hyperlink r:id="rId12">
        <w:r>
          <w:rPr>
            <w:color w:val="0000EE"/>
            <w:u w:val="single"/>
          </w:rPr>
          <w:t>https://www.rtinsights.com/genai-can-transform-business-operations-but-companies-must-walk-before-they-can-run-with-it/</w:t>
        </w:r>
      </w:hyperlink>
      <w:r>
        <w:t xml:space="preserve"> - This article underscores the critical role of robust data governance and the need for accurate and up-to-date data to achieve desired GenAI outcomes.</w:t>
      </w:r>
      <w:r/>
    </w:p>
    <w:p>
      <w:pPr>
        <w:pStyle w:val="ListNumber"/>
        <w:spacing w:line="240" w:lineRule="auto"/>
        <w:ind w:left="720"/>
      </w:pPr>
      <w:r/>
      <w:hyperlink r:id="rId13">
        <w:r>
          <w:rPr>
            <w:color w:val="0000EE"/>
            <w:u w:val="single"/>
          </w:rPr>
          <w:t>https://www.sparkoptimus.com/digital-know-how/implementing-generative-ai</w:t>
        </w:r>
      </w:hyperlink>
      <w:r>
        <w:t xml:space="preserve"> - The article emphasizes the importance of leadership support and resource allocation for multi-year GenAI projects and the need to upskill the workforce to harness GenAI effectively.</w:t>
      </w:r>
      <w:r/>
    </w:p>
    <w:p>
      <w:pPr>
        <w:pStyle w:val="ListNumber"/>
        <w:spacing w:line="240" w:lineRule="auto"/>
        <w:ind w:left="720"/>
      </w:pPr>
      <w:r/>
      <w:hyperlink r:id="rId11">
        <w:r>
          <w:rPr>
            <w:color w:val="0000EE"/>
            <w:u w:val="single"/>
          </w:rPr>
          <w:t>https://www.consultancy.uk/news/38637/10-best-practices-from-leading-companies-in-generative-ai</w:t>
        </w:r>
      </w:hyperlink>
      <w:r>
        <w:t xml:space="preserve"> - The report highlights the importance of aligning technological advancements with genuine customer needs to ensure that GenAI enhancements are well-received and beneficial from the consumer's perspective.</w:t>
      </w:r>
      <w:r/>
    </w:p>
    <w:p>
      <w:pPr>
        <w:pStyle w:val="ListNumber"/>
        <w:spacing w:line="240" w:lineRule="auto"/>
        <w:ind w:left="720"/>
      </w:pPr>
      <w:r/>
      <w:hyperlink r:id="rId13">
        <w:r>
          <w:rPr>
            <w:color w:val="0000EE"/>
            <w:u w:val="single"/>
          </w:rPr>
          <w:t>https://www.sparkoptimus.com/digital-know-how/implementing-generative-ai</w:t>
        </w:r>
      </w:hyperlink>
      <w:r>
        <w:t xml:space="preserve"> - It discusses the need for a clear vision of how GenAI will impact market channels and customer touchpoints, and the importance of fostering collaboration between business and tech divisions.</w:t>
      </w:r>
      <w:r/>
    </w:p>
    <w:p>
      <w:pPr>
        <w:pStyle w:val="ListNumber"/>
        <w:spacing w:line="240" w:lineRule="auto"/>
        <w:ind w:left="720"/>
      </w:pPr>
      <w:r/>
      <w:hyperlink r:id="rId11">
        <w:r>
          <w:rPr>
            <w:color w:val="0000EE"/>
            <w:u w:val="single"/>
          </w:rPr>
          <w:t>https://www.consultancy.uk/news/38637/10-best-practices-from-leading-companies-in-generative-ai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arkoptimus.com/digital-know-how/10-ways-generative-ai-is-delivering-real-value-to-the-industrial-sector" TargetMode="External"/><Relationship Id="rId11" Type="http://schemas.openxmlformats.org/officeDocument/2006/relationships/hyperlink" Target="https://www.consultancy.uk/news/38637/10-best-practices-from-leading-companies-in-generative-ai" TargetMode="External"/><Relationship Id="rId12" Type="http://schemas.openxmlformats.org/officeDocument/2006/relationships/hyperlink" Target="https://www.rtinsights.com/genai-can-transform-business-operations-but-companies-must-walk-before-they-can-run-with-it/" TargetMode="External"/><Relationship Id="rId13" Type="http://schemas.openxmlformats.org/officeDocument/2006/relationships/hyperlink" Target="https://www.sparkoptimus.com/digital-know-how/implementing-gener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