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SEC outlines examination priorities for 2025 emphasising fiduciary conduct and AI regulation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US Securities and Exchange Commission (SEC) has laid out its examination priorities for 2025, spotlighting key concerns such as fiduciary conduct, compliance issues, and the rising influence of artificial intelligence in financial operations. The announcement was made by the SEC’s Division of Examinations, which is tasked with ensuring market players adhere to federal securities laws.</w:t>
      </w:r>
      <w:r/>
    </w:p>
    <w:p>
      <w:r/>
      <w:r>
        <w:t>Focusing on major areas of fiduciary responsibility, the SEC aims to ensure investment advisers uphold high fiduciary standards. The SEC is stressing the importance of advisers acting in the best interests of their clients by eliminating or fully disclosing conflicts of interest. This focus encompasses various financial products, including high-cost and unconventional investment instruments, as well as assets susceptible to changing market conditions or interest rate fluctuations. The emphasis also extends to dual registrants and advisers affiliated with broker/dealers.</w:t>
      </w:r>
      <w:r/>
    </w:p>
    <w:p>
      <w:r/>
      <w:r>
        <w:t>A crucial compliance theme for the SEC is the scrutiny of off-channel communications among advisers and their clients. SEC Chair Gary Gensler discussed the matter at the recent SIFMA annual conference, noting that many firms fail to adhere to rules regarding record-keeping in communications, which can inadvertently pose risks.</w:t>
      </w:r>
      <w:r/>
    </w:p>
    <w:p>
      <w:r/>
      <w:r>
        <w:t>The SEC's Regulation Best Interest (Reg BI) will receive intense scrutiny, particularly in how broker/dealers manage client recommendations and disclose conflicts of interest. The regulation is intended to ensure that recommended products, especially complex or higher-risk investments like cryptocurrency assets and those with intricate fee structures, are managed ethically with clients' investment profiles in mind.</w:t>
      </w:r>
      <w:r/>
    </w:p>
    <w:p>
      <w:r/>
      <w:r>
        <w:t>Artificial intelligence also features prominently in the SEC’s priorities. Lori Weston from STP Investment Services highlighted AI’s increased prominence in regulatory focus, noting the need for firms to implement robust policies and disclosures related to AI usage. Firms are advised to closely review how third-party vendors employ AI and disclose these processes adequately.</w:t>
      </w:r>
      <w:r/>
    </w:p>
    <w:p>
      <w:r/>
      <w:r>
        <w:t>In addition to AI, cybersecurity remains a priority. The SEC will evaluate firms' approaches to protecting client data, emphasising governance practices and incident response strategies. New regulations broadening the scope of covered information relating to identity theft and fraud monitoring are set to be a focal point.</w:t>
      </w:r>
      <w:r/>
    </w:p>
    <w:p>
      <w:r/>
      <w:r>
        <w:t>Another significant area is compliance with the new rule shortening the settlement time for most securities transactions to the "day after trade date." Investments in cryptocurrency assets continue to be closely monitored, reflecting SEC Chair Gensler's stance on the need for tightened regulation in the digital asset market.</w:t>
      </w:r>
      <w:r/>
    </w:p>
    <w:p>
      <w:r/>
      <w:r>
        <w:t>These examination priorities reflect the SEC’s comprehensive approach in addressing evolving risks within the US capital markets. With a keen focus on fiduciary conduct, regulatory adherence, artificial intelligence, and cybersecurity, the SEC aims to bolster investor protection within the financial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https://www.napa-net.org/news/2024/10/sec-takes-aim-at-perennial-and-emerging-risks/</w:t>
        </w:r>
      </w:hyperlink>
      <w:r>
        <w:t xml:space="preserve"> - Corroborates the SEC's focus on fiduciary conduct, Regulation Best Interest, and the examination of high-risk financial products.</w:t>
      </w:r>
      <w:r/>
    </w:p>
    <w:p>
      <w:pPr>
        <w:pStyle w:val="ListNumber"/>
        <w:spacing w:line="240" w:lineRule="auto"/>
        <w:ind w:left="720"/>
      </w:pPr>
      <w:r/>
      <w:hyperlink r:id="rId11">
        <w:r>
          <w:rPr>
            <w:color w:val="0000EE"/>
            <w:u w:val="single"/>
          </w:rPr>
          <w:t>https://vigilantllc.com/2025-division-of-examinations-exam-priorities/</w:t>
        </w:r>
      </w:hyperlink>
      <w:r>
        <w:t xml:space="preserve"> - Supports the emphasis on fiduciary responsibility, compliance programs, and the scrutiny of off-channel communications among advisers and their clients.</w:t>
      </w:r>
      <w:r/>
    </w:p>
    <w:p>
      <w:pPr>
        <w:pStyle w:val="ListNumber"/>
        <w:spacing w:line="240" w:lineRule="auto"/>
        <w:ind w:left="720"/>
      </w:pPr>
      <w:r/>
      <w:hyperlink r:id="rId12">
        <w:r>
          <w:rPr>
            <w:color w:val="0000EE"/>
            <w:u w:val="single"/>
          </w:rPr>
          <w:t>https://www.planadviser.com/?p=105605</w:t>
        </w:r>
      </w:hyperlink>
      <w:r>
        <w:t xml:space="preserve"> - Confirms the SEC's priorities on fiduciary duty, standards of conduct, cybersecurity, and artificial intelligence.</w:t>
      </w:r>
      <w:r/>
    </w:p>
    <w:p>
      <w:pPr>
        <w:pStyle w:val="ListNumber"/>
        <w:spacing w:line="240" w:lineRule="auto"/>
        <w:ind w:left="720"/>
      </w:pPr>
      <w:r/>
      <w:hyperlink r:id="rId13">
        <w:r>
          <w:rPr>
            <w:color w:val="0000EE"/>
            <w:u w:val="single"/>
          </w:rPr>
          <w:t>https://www.sec.gov/files/2025-exam-priorities.pdf</w:t>
        </w:r>
      </w:hyperlink>
      <w:r>
        <w:t xml:space="preserve"> - Provides detailed information on the SEC's examination priorities, including fiduciary conduct, compliance issues, and emerging technologies.</w:t>
      </w:r>
      <w:r/>
    </w:p>
    <w:p>
      <w:pPr>
        <w:pStyle w:val="ListNumber"/>
        <w:spacing w:line="240" w:lineRule="auto"/>
        <w:ind w:left="720"/>
      </w:pPr>
      <w:r/>
      <w:hyperlink r:id="rId14">
        <w:r>
          <w:rPr>
            <w:color w:val="0000EE"/>
            <w:u w:val="single"/>
          </w:rPr>
          <w:t>https://www.sec.gov/newsroom/press-releases/2024-172</w:t>
        </w:r>
      </w:hyperlink>
      <w:r>
        <w:t xml:space="preserve"> - Outlines the SEC's 2025 examination priorities, focusing on fiduciary duty, standards of conduct, cybersecurity, and artificial intelligence.</w:t>
      </w:r>
      <w:r/>
    </w:p>
    <w:p>
      <w:pPr>
        <w:pStyle w:val="ListNumber"/>
        <w:spacing w:line="240" w:lineRule="auto"/>
        <w:ind w:left="720"/>
      </w:pPr>
      <w:r/>
      <w:hyperlink r:id="rId10">
        <w:r>
          <w:rPr>
            <w:color w:val="0000EE"/>
            <w:u w:val="single"/>
          </w:rPr>
          <w:t>https://www.napa-net.org/news/2024/10/sec-takes-aim-at-perennial-and-emerging-risks/</w:t>
        </w:r>
      </w:hyperlink>
      <w:r>
        <w:t xml:space="preserve"> - Details the scrutiny of Regulation Best Interest (Reg BI) and the management of client recommendations and conflicts of interest.</w:t>
      </w:r>
      <w:r/>
    </w:p>
    <w:p>
      <w:pPr>
        <w:pStyle w:val="ListNumber"/>
        <w:spacing w:line="240" w:lineRule="auto"/>
        <w:ind w:left="720"/>
      </w:pPr>
      <w:r/>
      <w:hyperlink r:id="rId11">
        <w:r>
          <w:rPr>
            <w:color w:val="0000EE"/>
            <w:u w:val="single"/>
          </w:rPr>
          <w:t>https://vigilantllc.com/2025-division-of-examinations-exam-priorities/</w:t>
        </w:r>
      </w:hyperlink>
      <w:r>
        <w:t xml:space="preserve"> - Explains the focus on artificial intelligence, including the need for robust policies and disclosures related to AI usage.</w:t>
      </w:r>
      <w:r/>
    </w:p>
    <w:p>
      <w:pPr>
        <w:pStyle w:val="ListNumber"/>
        <w:spacing w:line="240" w:lineRule="auto"/>
        <w:ind w:left="720"/>
      </w:pPr>
      <w:r/>
      <w:hyperlink r:id="rId12">
        <w:r>
          <w:rPr>
            <w:color w:val="0000EE"/>
            <w:u w:val="single"/>
          </w:rPr>
          <w:t>https://www.planadviser.com/?p=105605</w:t>
        </w:r>
      </w:hyperlink>
      <w:r>
        <w:t xml:space="preserve"> - Highlights the importance of cybersecurity, governance practices, and incident response strategies in the SEC's examinations.</w:t>
      </w:r>
      <w:r/>
    </w:p>
    <w:p>
      <w:pPr>
        <w:pStyle w:val="ListNumber"/>
        <w:spacing w:line="240" w:lineRule="auto"/>
        <w:ind w:left="720"/>
      </w:pPr>
      <w:r/>
      <w:hyperlink r:id="rId13">
        <w:r>
          <w:rPr>
            <w:color w:val="0000EE"/>
            <w:u w:val="single"/>
          </w:rPr>
          <w:t>https://www.sec.gov/files/2025-exam-priorities.pdf</w:t>
        </w:r>
      </w:hyperlink>
      <w:r>
        <w:t xml:space="preserve"> - Discusses compliance with new rules, including those related to identity theft and fraud monitoring, and the settlement time for securities transactions.</w:t>
      </w:r>
      <w:r/>
    </w:p>
    <w:p>
      <w:pPr>
        <w:pStyle w:val="ListNumber"/>
        <w:spacing w:line="240" w:lineRule="auto"/>
        <w:ind w:left="720"/>
      </w:pPr>
      <w:r/>
      <w:hyperlink r:id="rId14">
        <w:r>
          <w:rPr>
            <w:color w:val="0000EE"/>
            <w:u w:val="single"/>
          </w:rPr>
          <w:t>https://www.sec.gov/newsroom/press-releases/2024-172</w:t>
        </w:r>
      </w:hyperlink>
      <w:r>
        <w:t xml:space="preserve"> - Emphasizes the SEC's comprehensive approach to addressing evolving risks, including investments in cryptocurrency assets and digital asset market regulation.</w:t>
      </w:r>
      <w:r/>
    </w:p>
    <w:p>
      <w:pPr>
        <w:pStyle w:val="ListNumber"/>
        <w:spacing w:line="240" w:lineRule="auto"/>
        <w:ind w:left="720"/>
      </w:pPr>
      <w:r/>
      <w:hyperlink r:id="rId15">
        <w:r>
          <w:rPr>
            <w:color w:val="0000EE"/>
            <w:u w:val="single"/>
          </w:rPr>
          <w:t>https://www.planadviser.com/secs-2025-exam-priorities-include-fiduciary-conduct-ai-use/?utm_source=rss-feed&amp;utm_medium=news&amp;utm_campaign=feed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pa-net.org/news/2024/10/sec-takes-aim-at-perennial-and-emerging-risks/" TargetMode="External"/><Relationship Id="rId11" Type="http://schemas.openxmlformats.org/officeDocument/2006/relationships/hyperlink" Target="https://vigilantllc.com/2025-division-of-examinations-exam-priorities/" TargetMode="External"/><Relationship Id="rId12" Type="http://schemas.openxmlformats.org/officeDocument/2006/relationships/hyperlink" Target="https://www.planadviser.com/?p=105605" TargetMode="External"/><Relationship Id="rId13" Type="http://schemas.openxmlformats.org/officeDocument/2006/relationships/hyperlink" Target="https://www.sec.gov/files/2025-exam-priorities.pdf" TargetMode="External"/><Relationship Id="rId14" Type="http://schemas.openxmlformats.org/officeDocument/2006/relationships/hyperlink" Target="https://www.sec.gov/newsroom/press-releases/2024-172" TargetMode="External"/><Relationship Id="rId15" Type="http://schemas.openxmlformats.org/officeDocument/2006/relationships/hyperlink" Target="https://www.planadviser.com/secs-2025-exam-priorities-include-fiduciary-conduct-ai-use/?utm_source=rss-feed&amp;utm_medium=news&amp;utm_campaign=f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