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Fujitsu unveils middleware technology to enhance AI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Fujitsu, a leading player in the information and communication technology sector, has announced a significant advancement in the field of artificial intelligence through its latest innovation in middleware technology. The company claims that this new development, which was unveiled to customers around the world today, more than doubles the GPU computational efficiency for AI workloads. This promising breakthrough addresses the pressing challenges of GPU limitations and shortages that many industries are facing due to growing computing demands driven by AI applications.</w:t>
      </w:r>
      <w:r/>
    </w:p>
    <w:p>
      <w:r/>
      <w:r>
        <w:t>This middleware has been engineered to enhance resource allocation and memory management across various platforms and applications that employ artificial intelligence. Such improvements in efficiency are crucial for organisations seeking to optimise their computational resources and manage workloads more effectively, especially in environments strained by limited GPU availability.</w:t>
      </w:r>
      <w:r/>
    </w:p>
    <w:p>
      <w:r/>
      <w:r>
        <w:t>The development has been in the testing phase with prominent technology partners AWL, Xtreme-D, and Morgenrot since May. Fujitsu conducted its trials in various cloud environments and on different servers, observing a significant uptick in efficiency. According to the results, the middleware has achieved up to a 2.25-fold increase in computational efficiency when executing AI workloads. Furthermore, it demonstrated a substantial boost in the number of AI processes that can be simultaneously handled, showcasing its potential to handle complex, large-scale data processing tasks more efficiently.</w:t>
      </w:r>
      <w:r/>
    </w:p>
    <w:p>
      <w:r/>
      <w:r>
        <w:t>The successful trials signal a potential paradigm shift for companies reliant on AI technology, promising improved performance and greater scalability of their operations. Fujitsu's innovation comes at a crucial time as the tech industry continues to seek solutions to mitigate GPU shortages and manage rising demands for computational power.</w:t>
      </w:r>
      <w:r/>
    </w:p>
    <w:p>
      <w:r/>
      <w:r>
        <w:t>The middleware's global release marks a pivotal step for Fujitsu, and while the technology trials were conducted with select partners, Fujitsu plans to expand its testing scope. More trials with additional partners are slated to commence within the month, indicating a continued focus on optimising AI efficiencies across a broad spectrum of industries and applications.</w:t>
      </w:r>
      <w:r/>
    </w:p>
    <w:p>
      <w:r/>
      <w:r>
        <w:t>This development has captured the attention of industry professionals who are keenly observing how this advancement could alleviate some of the strain caused by current GPU constraints, potentially setting a new standard for optimising AI workloads efficiently and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https://www.fujitsu.com/global/about/resources/news/press-releases/2024/1022-01.html</w:t>
        </w:r>
      </w:hyperlink>
      <w:r>
        <w:t xml:space="preserve"> - Corroborates the announcement of Fujitsu's AI computing broker middleware and its ability to enhance GPU computational efficiency for AI workloads.</w:t>
      </w:r>
      <w:r/>
    </w:p>
    <w:p>
      <w:pPr>
        <w:pStyle w:val="ListNumber"/>
        <w:spacing w:line="240" w:lineRule="auto"/>
        <w:ind w:left="720"/>
      </w:pPr>
      <w:r/>
      <w:hyperlink r:id="rId10">
        <w:r>
          <w:rPr>
            <w:color w:val="0000EE"/>
            <w:u w:val="single"/>
          </w:rPr>
          <w:t>https://www.fujitsu.com/global/about/resources/news/press-releases/2024/1022-01.html</w:t>
        </w:r>
      </w:hyperlink>
      <w:r>
        <w:t xml:space="preserve"> - Details the middleware's engineering to enhance resource allocation and memory management across various platforms and AI applications.</w:t>
      </w:r>
      <w:r/>
    </w:p>
    <w:p>
      <w:pPr>
        <w:pStyle w:val="ListNumber"/>
        <w:spacing w:line="240" w:lineRule="auto"/>
        <w:ind w:left="720"/>
      </w:pPr>
      <w:r/>
      <w:hyperlink r:id="rId10">
        <w:r>
          <w:rPr>
            <w:color w:val="0000EE"/>
            <w:u w:val="single"/>
          </w:rPr>
          <w:t>https://www.fujitsu.com/global/about/resources/news/press-releases/2024/1022-01.html</w:t>
        </w:r>
      </w:hyperlink>
      <w:r>
        <w:t xml:space="preserve"> - Provides information on the testing phase with technology partners AWL, Xtreme-D, and Morgenrot since May.</w:t>
      </w:r>
      <w:r/>
    </w:p>
    <w:p>
      <w:pPr>
        <w:pStyle w:val="ListNumber"/>
        <w:spacing w:line="240" w:lineRule="auto"/>
        <w:ind w:left="720"/>
      </w:pPr>
      <w:r/>
      <w:hyperlink r:id="rId10">
        <w:r>
          <w:rPr>
            <w:color w:val="0000EE"/>
            <w:u w:val="single"/>
          </w:rPr>
          <w:t>https://www.fujitsu.com/global/about/resources/news/press-releases/2024/1022-01.html</w:t>
        </w:r>
      </w:hyperlink>
      <w:r>
        <w:t xml:space="preserve"> - Confirms the trials conducted in various cloud environments and on different servers, and the observed increase in efficiency.</w:t>
      </w:r>
      <w:r/>
    </w:p>
    <w:p>
      <w:pPr>
        <w:pStyle w:val="ListNumber"/>
        <w:spacing w:line="240" w:lineRule="auto"/>
        <w:ind w:left="720"/>
      </w:pPr>
      <w:r/>
      <w:hyperlink r:id="rId10">
        <w:r>
          <w:rPr>
            <w:color w:val="0000EE"/>
            <w:u w:val="single"/>
          </w:rPr>
          <w:t>https://www.fujitsu.com/global/about/resources/news/press-releases/2024/1022-01.html</w:t>
        </w:r>
      </w:hyperlink>
      <w:r>
        <w:t xml:space="preserve"> - Mentions the achievement of up to a 2.25-fold increase in computational efficiency and the substantial boost in the number of AI processes that can be simultaneously handled.</w:t>
      </w:r>
      <w:r/>
    </w:p>
    <w:p>
      <w:pPr>
        <w:pStyle w:val="ListNumber"/>
        <w:spacing w:line="240" w:lineRule="auto"/>
        <w:ind w:left="720"/>
      </w:pPr>
      <w:r/>
      <w:hyperlink r:id="rId10">
        <w:r>
          <w:rPr>
            <w:color w:val="0000EE"/>
            <w:u w:val="single"/>
          </w:rPr>
          <w:t>https://www.fujitsu.com/global/about/resources/news/press-releases/2024/1022-01.html</w:t>
        </w:r>
      </w:hyperlink>
      <w:r>
        <w:t xml:space="preserve"> - Discusses the potential paradigm shift for companies reliant on AI technology and the improved performance and scalability of operations.</w:t>
      </w:r>
      <w:r/>
    </w:p>
    <w:p>
      <w:pPr>
        <w:pStyle w:val="ListNumber"/>
        <w:spacing w:line="240" w:lineRule="auto"/>
        <w:ind w:left="720"/>
      </w:pPr>
      <w:r/>
      <w:hyperlink r:id="rId10">
        <w:r>
          <w:rPr>
            <w:color w:val="0000EE"/>
            <w:u w:val="single"/>
          </w:rPr>
          <w:t>https://www.fujitsu.com/global/about/resources/news/press-releases/2024/1022-01.html</w:t>
        </w:r>
      </w:hyperlink>
      <w:r>
        <w:t xml:space="preserve"> - Details Fujitsu's plans to expand the testing scope and conduct more trials with additional partners.</w:t>
      </w:r>
      <w:r/>
    </w:p>
    <w:p>
      <w:pPr>
        <w:pStyle w:val="ListNumber"/>
        <w:spacing w:line="240" w:lineRule="auto"/>
        <w:ind w:left="720"/>
      </w:pPr>
      <w:r/>
      <w:hyperlink r:id="rId11">
        <w:r>
          <w:rPr>
            <w:color w:val="0000EE"/>
            <w:u w:val="single"/>
          </w:rPr>
          <w:t>https://www.techzine.eu/news/applications/125538/fujitsu-builds-middleware-for-ai-computing-power/</w:t>
        </w:r>
      </w:hyperlink>
      <w:r>
        <w:t xml:space="preserve"> - Supports the claim that Fujitsu's middleware allows companies to fully utilize their scarce GPUs for AI, enhancing computational efficiency.</w:t>
      </w:r>
      <w:r/>
    </w:p>
    <w:p>
      <w:pPr>
        <w:pStyle w:val="ListNumber"/>
        <w:spacing w:line="240" w:lineRule="auto"/>
        <w:ind w:left="720"/>
      </w:pPr>
      <w:r/>
      <w:hyperlink r:id="rId10">
        <w:r>
          <w:rPr>
            <w:color w:val="0000EE"/>
            <w:u w:val="single"/>
          </w:rPr>
          <w:t>https://www.fujitsu.com/global/about/resources/news/press-releases/2024/1022-01.html</w:t>
        </w:r>
      </w:hyperlink>
      <w:r>
        <w:t xml:space="preserve"> - Explains how the middleware addresses the global GPU shortages and enhances AI processing efficiency.</w:t>
      </w:r>
      <w:r/>
    </w:p>
    <w:p>
      <w:pPr>
        <w:pStyle w:val="ListNumber"/>
        <w:spacing w:line="240" w:lineRule="auto"/>
        <w:ind w:left="720"/>
      </w:pPr>
      <w:r/>
      <w:hyperlink r:id="rId10">
        <w:r>
          <w:rPr>
            <w:color w:val="0000EE"/>
            <w:u w:val="single"/>
          </w:rPr>
          <w:t>https://www.fujitsu.com/global/about/resources/news/press-releases/2024/1022-01.html</w:t>
        </w:r>
      </w:hyperlink>
      <w:r>
        <w:t xml:space="preserve"> - Highlights the memory management capabilities of the technology, enabling the simultaneous handling of up to 150GB of AI processing.</w:t>
      </w:r>
      <w:r/>
    </w:p>
    <w:p>
      <w:pPr>
        <w:pStyle w:val="ListNumber"/>
        <w:spacing w:line="240" w:lineRule="auto"/>
        <w:ind w:left="720"/>
      </w:pPr>
      <w:r/>
      <w:hyperlink r:id="rId10">
        <w:r>
          <w:rPr>
            <w:color w:val="0000EE"/>
            <w:u w:val="single"/>
          </w:rPr>
          <w:t>https://www.fujitsu.com/global/about/resources/news/press-releases/2024/1022-01.html</w:t>
        </w:r>
      </w:hyperlink>
      <w:r>
        <w:t xml:space="preserve"> - Mentions the feedback from partners like TRADOM Inc. and Morgenrot Inc. on the significant improvements achieved through the use of this middleware.</w:t>
      </w:r>
      <w:r/>
    </w:p>
    <w:p>
      <w:pPr>
        <w:pStyle w:val="ListNumber"/>
        <w:spacing w:line="240" w:lineRule="auto"/>
        <w:ind w:left="720"/>
      </w:pPr>
      <w:r/>
      <w:hyperlink r:id="rId12">
        <w:r>
          <w:rPr>
            <w:color w:val="0000EE"/>
            <w:u w:val="single"/>
          </w:rPr>
          <w:t>https://www.networkworld.com/article/3578602/new-middleware-doubles-gpu-computational-efficiency-for-ai-workloads-in-trials-says-fujitsu.html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ujitsu.com/global/about/resources/news/press-releases/2024/1022-01.html" TargetMode="External"/><Relationship Id="rId11" Type="http://schemas.openxmlformats.org/officeDocument/2006/relationships/hyperlink" Target="https://www.techzine.eu/news/applications/125538/fujitsu-builds-middleware-for-ai-computing-power/" TargetMode="External"/><Relationship Id="rId12" Type="http://schemas.openxmlformats.org/officeDocument/2006/relationships/hyperlink" Target="https://www.networkworld.com/article/3578602/new-middleware-doubles-gpu-computational-efficiency-for-ai-workloads-in-trials-says-fujitsu.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