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Energy sector accelerates transition to sustainability amid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from Womble Bond Dickinson, titled "Energising Tomorrow: Global Energy Transition Outlook 2025," reveals accelerating momentum in the energy sector's shift away from fossil fuels, powered by improved access to capital and advancing technologies. The report draws attention to significant developments as 76% of energy suppliers have initiated new transition projects this year, underlining a robust commitment to decarbonisation and sustainability.</w:t>
      </w:r>
      <w:r/>
    </w:p>
    <w:p>
      <w:r/>
      <w:r>
        <w:t>The study highlights the strategic role of artificial intelligence, with 85% of energy suppliers integrating AI solutions to enhance operational efficiency. This trend positions AI as a frontrunner technology in driving the sector’s modernisation and sustainability efforts. The technological advancement aligns with a broader industry aim of reducing carbon footprints and meeting global climate change targets.</w:t>
      </w:r>
      <w:r/>
    </w:p>
    <w:p>
      <w:r/>
      <w:r>
        <w:t>However, the transition is not without its hurdles. The report shows that 45% of suppliers and investors view permitting processes as a substantial obstacle, creating barriers that potentially impede long-term success. Regulatory complexities have now overshadowed financial concerns, which traditionally have been a significant challenge for the sector.</w:t>
      </w:r>
      <w:r/>
    </w:p>
    <w:p>
      <w:r/>
      <w:r>
        <w:t>A noteworthy 30% of respondents expressed apprehension over the ongoing viability of the transition, citing the phasing out of government-backed incentives and grants as a potential risk. This decline in government support could affect the sector’s ability to maintain momentum in its transition efforts.</w:t>
      </w:r>
      <w:r/>
    </w:p>
    <w:p>
      <w:r/>
      <w:r>
        <w:t>Jeffrey Whittle, Global Sector Leader – Energy &amp; Natural Resources at Womble Bond Dickinson, remarked on the findings, stating, "Our survey results showcase a global energy sector at a pivotal moment in the transition to cleaner energy. With improving financial conditions and a growing emphasis on decarbonisation for energy suppliers, investors, and commercial consumers, the energy economy’s commitment to climate change goals remains strong."</w:t>
      </w:r>
      <w:r/>
    </w:p>
    <w:p>
      <w:r/>
      <w:r>
        <w:t>Echoing this sentiment, Richard Cockburn, Womble Bond Dickinson’s UK Sector Leader – Energy &amp; Natural Resources, indicated that while the current trajectory appears optimistic, further governmental support is essential. Cockburn stressed the need for infrastructure development and regulatory refinement to continue de-risking investments and fostering innovation amidst existing geopolitical tensions and supply chain challenges.</w:t>
      </w:r>
      <w:r/>
    </w:p>
    <w:p>
      <w:r/>
      <w:r>
        <w:t>The Energising Tomorrow report provides a comprehensive view of the progress and persistent challenges in the energy sector's evolution to a more sustainable future. As stakeholders navigate these dynamics, the report outlines the crucial balance between advancing technology and navigating regulatory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https://www.womblebonddickinson.com/uk/energy-transition-2025</w:t>
        </w:r>
      </w:hyperlink>
      <w:r>
        <w:t xml:space="preserve"> - Corroborates the existence and title of the report 'Energising Tomorrow: Global Energy Transition Outlook 2025' and its focus on the energy sector's transition.</w:t>
      </w:r>
      <w:r/>
    </w:p>
    <w:p>
      <w:pPr>
        <w:pStyle w:val="ListNumber"/>
        <w:spacing w:line="240" w:lineRule="auto"/>
        <w:ind w:left="720"/>
      </w:pPr>
      <w:r/>
      <w:hyperlink r:id="rId11">
        <w:r>
          <w:rPr>
            <w:color w:val="0000EE"/>
            <w:u w:val="single"/>
          </w:rPr>
          <w:t>https://discover.wbd-uk.com/reports/global-energy-transition-2025/</w:t>
        </w:r>
      </w:hyperlink>
      <w:r>
        <w:t xml:space="preserve"> - Provides details on the Global Energy Transition Outlook 2025 report, including insights from global energy stakeholders.</w:t>
      </w:r>
      <w:r/>
    </w:p>
    <w:p>
      <w:pPr>
        <w:pStyle w:val="ListNumber"/>
        <w:spacing w:line="240" w:lineRule="auto"/>
        <w:ind w:left="720"/>
      </w:pPr>
      <w:r/>
      <w:hyperlink r:id="rId12">
        <w:r>
          <w:rPr>
            <w:color w:val="0000EE"/>
            <w:u w:val="single"/>
          </w:rPr>
          <w:t>https://www.womblebonddickinson.com/us/insights/news-and-insights/improved-access-capital-subsidies-and-incentives-are-accelerating-energy</w:t>
        </w:r>
      </w:hyperlink>
      <w:r>
        <w:t xml:space="preserve"> - Supports the claim that improved access to capital, subsidies, and incentives are accelerating the energy transition, as highlighted in the report.</w:t>
      </w:r>
      <w:r/>
    </w:p>
    <w:p>
      <w:pPr>
        <w:pStyle w:val="ListNumber"/>
        <w:spacing w:line="240" w:lineRule="auto"/>
        <w:ind w:left="720"/>
      </w:pPr>
      <w:r/>
      <w:hyperlink r:id="rId13">
        <w:r>
          <w:rPr>
            <w:color w:val="0000EE"/>
            <w:u w:val="single"/>
          </w:rPr>
          <w:t>https://www.womblebonddickinson.com/uk/insights/news/uk-energy-transition-poised-breakthrough-year</w:t>
        </w:r>
      </w:hyperlink>
      <w:r>
        <w:t xml:space="preserve"> - Mentions the UK energy sector's slow adoption of AI and other transformative technologies, aligning with the report's findings on technological advancements.</w:t>
      </w:r>
      <w:r/>
    </w:p>
    <w:p>
      <w:pPr>
        <w:pStyle w:val="ListNumber"/>
        <w:spacing w:line="240" w:lineRule="auto"/>
        <w:ind w:left="720"/>
      </w:pPr>
      <w:r/>
      <w:hyperlink r:id="rId12">
        <w:r>
          <w:rPr>
            <w:color w:val="0000EE"/>
            <w:u w:val="single"/>
          </w:rPr>
          <w:t>https://www.womblebonddickinson.com/us/insights/news-and-insights/improved-access-capital-subsidies-and-incentives-are-accelerating-energy</w:t>
        </w:r>
      </w:hyperlink>
      <w:r>
        <w:t xml:space="preserve"> - Highlights the integration of AI solutions by energy suppliers to enhance operational efficiency, as stated in the report.</w:t>
      </w:r>
      <w:r/>
    </w:p>
    <w:p>
      <w:pPr>
        <w:pStyle w:val="ListNumber"/>
        <w:spacing w:line="240" w:lineRule="auto"/>
        <w:ind w:left="720"/>
      </w:pPr>
      <w:r/>
      <w:hyperlink r:id="rId11">
        <w:r>
          <w:rPr>
            <w:color w:val="0000EE"/>
            <w:u w:val="single"/>
          </w:rPr>
          <w:t>https://discover.wbd-uk.com/reports/global-energy-transition-2025/</w:t>
        </w:r>
      </w:hyperlink>
      <w:r>
        <w:t xml:space="preserve"> - Corroborates the significant commitment to decarbonisation and sustainability, with 76% of energy suppliers initiating new transition projects.</w:t>
      </w:r>
      <w:r/>
    </w:p>
    <w:p>
      <w:pPr>
        <w:pStyle w:val="ListNumber"/>
        <w:spacing w:line="240" w:lineRule="auto"/>
        <w:ind w:left="720"/>
      </w:pPr>
      <w:r/>
      <w:hyperlink r:id="rId12">
        <w:r>
          <w:rPr>
            <w:color w:val="0000EE"/>
            <w:u w:val="single"/>
          </w:rPr>
          <w:t>https://www.womblebonddickinson.com/us/insights/news-and-insights/improved-access-capital-subsidies-and-incentives-are-accelerating-energy</w:t>
        </w:r>
      </w:hyperlink>
      <w:r>
        <w:t xml:space="preserve"> - Discusses the obstacles faced by the energy sector, including permitting processes and regulatory complexities, as mentioned in the report.</w:t>
      </w:r>
      <w:r/>
    </w:p>
    <w:p>
      <w:pPr>
        <w:pStyle w:val="ListNumber"/>
        <w:spacing w:line="240" w:lineRule="auto"/>
        <w:ind w:left="720"/>
      </w:pPr>
      <w:r/>
      <w:hyperlink r:id="rId13">
        <w:r>
          <w:rPr>
            <w:color w:val="0000EE"/>
            <w:u w:val="single"/>
          </w:rPr>
          <w:t>https://www.womblebonddickinson.com/uk/insights/news/uk-energy-transition-poised-breakthrough-year</w:t>
        </w:r>
      </w:hyperlink>
      <w:r>
        <w:t xml:space="preserve"> - Supports the concern over the phasing out of government-backed incentives and grants, which could impact the sector's transition momentum.</w:t>
      </w:r>
      <w:r/>
    </w:p>
    <w:p>
      <w:pPr>
        <w:pStyle w:val="ListNumber"/>
        <w:spacing w:line="240" w:lineRule="auto"/>
        <w:ind w:left="720"/>
      </w:pPr>
      <w:r/>
      <w:hyperlink r:id="rId12">
        <w:r>
          <w:rPr>
            <w:color w:val="0000EE"/>
            <w:u w:val="single"/>
          </w:rPr>
          <w:t>https://www.womblebonddickinson.com/us/insights/news-and-insights/improved-access-capital-subsidies-and-incentives-are-accelerating-energy</w:t>
        </w:r>
      </w:hyperlink>
      <w:r>
        <w:t xml:space="preserve"> - Quotes Jeffrey Whittle on the global energy sector's pivotal moment in the transition to cleaner energy, reflecting the report's findings.</w:t>
      </w:r>
      <w:r/>
    </w:p>
    <w:p>
      <w:pPr>
        <w:pStyle w:val="ListNumber"/>
        <w:spacing w:line="240" w:lineRule="auto"/>
        <w:ind w:left="720"/>
      </w:pPr>
      <w:r/>
      <w:hyperlink r:id="rId13">
        <w:r>
          <w:rPr>
            <w:color w:val="0000EE"/>
            <w:u w:val="single"/>
          </w:rPr>
          <w:t>https://www.womblebonddickinson.com/uk/insights/news/uk-energy-transition-poised-breakthrough-year</w:t>
        </w:r>
      </w:hyperlink>
      <w:r>
        <w:t xml:space="preserve"> - Echoes Richard Cockburn's sentiments on the need for further governmental support, infrastructure development, and regulatory refinement.</w:t>
      </w:r>
      <w:r/>
    </w:p>
    <w:p>
      <w:pPr>
        <w:pStyle w:val="ListNumber"/>
        <w:spacing w:line="240" w:lineRule="auto"/>
        <w:ind w:left="720"/>
      </w:pPr>
      <w:r/>
      <w:hyperlink r:id="rId14">
        <w:r>
          <w:rPr>
            <w:color w:val="0000EE"/>
            <w:u w:val="single"/>
          </w:rPr>
          <w:t>https://environmentjournal.online/energy/ai-and-access-to-capital-energising-tomorrow-report-assesses-transition-outlook/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omblebonddickinson.com/uk/energy-transition-2025" TargetMode="External"/><Relationship Id="rId11" Type="http://schemas.openxmlformats.org/officeDocument/2006/relationships/hyperlink" Target="https://discover.wbd-uk.com/reports/global-energy-transition-2025/" TargetMode="External"/><Relationship Id="rId12" Type="http://schemas.openxmlformats.org/officeDocument/2006/relationships/hyperlink" Target="https://www.womblebonddickinson.com/us/insights/news-and-insights/improved-access-capital-subsidies-and-incentives-are-accelerating-energy" TargetMode="External"/><Relationship Id="rId13" Type="http://schemas.openxmlformats.org/officeDocument/2006/relationships/hyperlink" Target="https://www.womblebonddickinson.com/uk/insights/news/uk-energy-transition-poised-breakthrough-year" TargetMode="External"/><Relationship Id="rId14" Type="http://schemas.openxmlformats.org/officeDocument/2006/relationships/hyperlink" Target="https://environmentjournal.online/energy/ai-and-access-to-capital-energising-tomorrow-report-assesses-transition-outloo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