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gains ground among Australian midmarket firms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Gains Ground Among Australian Midmarket Firms</w:t>
      </w:r>
      <w:r/>
    </w:p>
    <w:p>
      <w:r/>
      <w:r>
        <w:t>Generative Artificial Intelligence (Gen AI) is gaining substantial traction among midmarket businesses in Australia, as revealed in a recent survey that highlights a burgeoning trend towards utilising advanced technology to drive strategic business value. The research underscores a significant adoption rate within medium-sized enterprises, revealing a clear inclination towards leveraging AI capabilities as a core component of business strategy.</w:t>
      </w:r>
      <w:r/>
    </w:p>
    <w:p>
      <w:r/>
      <w:r>
        <w:t>The survey engaged 783 midmarket organisations across Australia, defined as businesses with a workforce ranging from 250 to 1,500 employees. It uncovered that companies experiencing higher growth are more inclined to prioritise Gen AI, with 50% of these high-growth firms identifying it as a crucial area of focus. In contrast, 43% of businesses with lower growth rates demonstrated the same level of engagement with Gen AI. Dr Kim Oosthuizen, the head of AI at SAP Australia &amp; New Zealand, emphasised that "the benefits of Business AI are not confined to large enterprises; every organisation can harness its advantages in a relevant, reliable, and responsible manner."</w:t>
      </w:r>
      <w:r/>
    </w:p>
    <w:p>
      <w:r/>
      <w:r>
        <w:t>A compelling 90% of the surveyed businesses rank the adoption of Gen AI as a medium to high priority, indicating a strong commitment towards integrating this technology. In addition, 88% of organisations emphasise the importance of standard AI applications, particularly in machine learning for data analysis. Other critical priorities cited by the businesses include cybersecurity, environmental sustainability, and managing supply chain challenges, each represented by an 89% priority rating.</w:t>
      </w:r>
      <w:r/>
    </w:p>
    <w:p>
      <w:r/>
      <w:r>
        <w:t>In all business functions, AI is acknowledged as a transformative force. The survey indicates that improving data security and privacy is a top concern, with 50% of businesses prioritising it. Other significant areas of focus include the development of new business models (48%) and enhancing supply chain optimisation (45%).</w:t>
      </w:r>
      <w:r/>
    </w:p>
    <w:p>
      <w:r/>
      <w:r>
        <w:t>Australian firms are not just planning for future AI integration; they are actively deploying AI technologies. A remarkable 85% of the respondents are utilising AI for market intelligence, while 84% apply it for cybersecurity monitoring, fraud detection, and compliance purposes. Impressively, these statistics place Australia ahead of global averages, showcasing a strong commitment to AI implementation.</w:t>
      </w:r>
      <w:r/>
    </w:p>
    <w:p>
      <w:r/>
      <w:r>
        <w:t>Despite the enthusiasm for AI, challenges persist. Midmarket businesses point to supply chain disruptions (38%) and internal organisational silos (35%) as impediments to growth. Additionally, concerns about data quality and integration remain prevalent, with 35% of firms expressing reservations about the risks of acting on inaccurate information. Dr Oosthuizen remarked on the importance of data quality, noting that "the better quality and scale of your data, the better results of your AI."</w:t>
      </w:r>
      <w:r/>
    </w:p>
    <w:p>
      <w:r/>
      <w:r>
        <w:t>In the financial sector, applications of AI such as forecasting (33%) and fraud detection (28%) have become prominent. Notably, 90% of finance departments report enhanced business growth since adopting AI technologies.</w:t>
      </w:r>
      <w:r/>
    </w:p>
    <w:p>
      <w:r/>
      <w:r>
        <w:t>The overarching conclusion from this study is that investment in technology, particularly AI, is pivotal for midmarket organisations aiming to achieve growth and efficiency. As AI stands at the forefront of this technological evolution, it is poised to continue driving significant advancements within Australia's midmarket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https://ciolook.com/90-of-australian-midmarket-businesses-prioritize-generative-ai-adoption/</w:t>
        </w:r>
      </w:hyperlink>
      <w:r>
        <w:t xml:space="preserve"> - Corroborates the high adoption rate of Gen AI among Australian midmarket businesses, with 90% ranking it as a medium to high priority.</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Supports the finding that high-growth firms are more inclined to prioritize Gen AI, with 50% identifying it as crucial, compared to 43% of lower-growth firms.</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Quotes Dr. Kim Oosthuizen on the benefits of Business AI not being confined to large enterprises and the importance of responsible AI adoption.</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Highlights other critical priorities such as cybersecurity, environmental sustainability, and supply chain challenges, each with an 89% priority rating.</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Confirms that improving data security and privacy is a top concern, with 50% of businesses prioritising it, along with new business models and supply chain optimisation.</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Supports the active deployment of AI technologies for market intelligence, cybersecurity monitoring, fraud detection, and compliance purposes.</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Highlights that Australia surpasses global averages in AI implementation, showcasing a strong commitment to AI adoption.</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Identifies supply chain disruptions, internal silos, and data quality concerns as challenges to AI adoption.</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Emphasizes the importance of data quality as noted by Dr. Oosthuizen, highlighting that better data quality leads to better AI results.</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Details the financial sector's applications of AI, such as forecasting and fraud detection, and the reported business growth since AI adoption.</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Concludes that technology investment, particularly in AI, is crucial for midmarket organisations to achieve growth and efficiency.</w:t>
      </w:r>
      <w:r/>
    </w:p>
    <w:p>
      <w:pPr>
        <w:pStyle w:val="ListNumber"/>
        <w:spacing w:line="240" w:lineRule="auto"/>
        <w:ind w:left="720"/>
      </w:pPr>
      <w:r/>
      <w:hyperlink r:id="rId10">
        <w:r>
          <w:rPr>
            <w:color w:val="0000EE"/>
            <w:u w:val="single"/>
          </w:rPr>
          <w:t>https://ciolook.com/90-of-australian-midmarket-businesses-prioritize-generative-ai-adoption/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iolook.com/90-of-australian-midmarket-businesses-prioritize-generative-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