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John Lewis invests £800 million in retail overhaul while Intesa Sanpaolo restructures workforce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John Lewis, a renowned UK department store chain, has unveiled a significant £800 million investment initiative aimed at revitalising its retail operations over the next four years. This ambitious plan includes a series of store makeovers, particularly focusing on enhancing the beauty department across its outlets. The announcement comes in light of the company's recent operational challenges, which have seen several store closures and impact on employment numbers.</w:t>
      </w:r>
      <w:r/>
    </w:p>
    <w:p>
      <w:r/>
      <w:r>
        <w:t>The chain's leadership has acknowledged the necessity for these upgrades, citing the need for improved facilities to re-establish its presence in the competitive retail sector. Over the recent period, John Lewis has faced critical issues that have necessitated these strategic investments, including adapting to changing consumer behaviours and the broader retail market's dynamics.</w:t>
      </w:r>
      <w:r/>
    </w:p>
    <w:p>
      <w:r/>
      <w:r>
        <w:t>Meanwhile, in another significant development in the financial sector, Italy's leading banking institution, Intesa Sanpaolo, has concluded an agreement with trade unions that will result in the voluntary reduction of 9,000 jobs, constituting about 10% of its workforce. This reduction aligns with the bank's strategic shift towards adopting more artificial intelligence (AI) and digitalisation within its operations.</w:t>
      </w:r>
      <w:r/>
    </w:p>
    <w:p>
      <w:r/>
      <w:r>
        <w:t>As part of its future-facing strategy, Intesa Sanpaolo also plans to recruit 3,500 young professionals by mid-2028. These new hires will primarily focus on wealth management roles, reflecting the bank's commitment to foster generational transformation without imposing social costs. The initiative underscores the bank's efforts to enhance its business resilience and sustainability in a rapidly evolving digital landscape.</w:t>
      </w:r>
      <w:r/>
    </w:p>
    <w:p>
      <w:r/>
      <w:r>
        <w:t>The job cuts will predominantly affect the bank’s operations in Italy, numbering around 7,000, with the remaining roles being trimmed from its international units. To facilitate these workforce changes, Intesa Sanpaolo has earmarked a 350-million-euro charge against its fourth-quarter earnings. Importantly, this financial provision will not impede the bank's projected net profit, which is anticipated to surpass 8.5 billion euros by 2024.</w:t>
      </w:r>
      <w:r/>
    </w:p>
    <w:p>
      <w:r/>
      <w:r>
        <w:t>The bank estimates that the revamped employment structure will result in annual savings of approximately 500 million euros by 2028. Despite these significant restructuring efforts, Intesa Sanpaolo’s shares remained largely unchanged in the midday trading session on the Milan Stock Exchange.</w:t>
      </w:r>
      <w:r/>
    </w:p>
    <w:p>
      <w:r/>
      <w:r>
        <w:t>Both John Lewis and Intesa Sanpaolo are implementing transformative strategies to position themselves favourably amidst changing industry dynamics, focusing on technological advancement and generational workforce shifts as essential components of their future growth plans.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