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NIST symposium outlines future path for trustworthy AI development and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NIST Symposium Outlines Future Path for Trustworthy AI Development and Regulation</w:t>
      </w:r>
      <w:r/>
    </w:p>
    <w:p>
      <w:r/>
      <w:r>
        <w:t>On 24th and 25th September, the National Institute of Standards and Technology (NIST) hosted a pivotal symposium at their headquarters, aiming to chart the future course for trustworthy artificial intelligence (AI) innovation and regulation. The event was a gathering of key stakeholders, including representatives from industry, civil society, and government, all committed to advancing AI standards and improving risk management frameworks.</w:t>
      </w:r>
      <w:r/>
    </w:p>
    <w:p>
      <w:r/>
      <w:r>
        <w:t>The symposium's agenda focused heavily on expanding the current understanding of AI risk management. Traditionally viewed as a binary relationship between AI developers and deployers, the discussions highlighted the necessity of considering the entire AI value chain. This involves multiple actors who contribute to risk through data curation, model training, and application development, especially for cutting-edge areas like generative AI and machine learning (ML).</w:t>
      </w:r>
      <w:r/>
    </w:p>
    <w:p>
      <w:r/>
      <w:r>
        <w:rPr>
          <w:b/>
        </w:rPr>
        <w:t>Theme 1: Broader Perspectives on AI Risk Management</w:t>
      </w:r>
      <w:r/>
    </w:p>
    <w:p>
      <w:r/>
      <w:r>
        <w:t>Participants praised NIST's AI Risk Management Framework (AI RMF) for offering a comprehensive method to align and assign risk management responsibilities across different stages of an AI solution's lifecycle. Experts stressed the importance of detailed governance models and systemic oversight to predict and mitigate potential risks. The discussion underscored the complexity of governance in AI, advocating for sociotechnical evaluations that encompass both technological capabilities and their broader social implications.</w:t>
      </w:r>
      <w:r/>
    </w:p>
    <w:p>
      <w:r/>
      <w:r>
        <w:rPr>
          <w:b/>
        </w:rPr>
        <w:t>Theme 2: Development of AI Standards on the Horizon</w:t>
      </w:r>
      <w:r/>
    </w:p>
    <w:p>
      <w:r/>
      <w:r>
        <w:t>Amidst a surge in AI innovations, there is a clamour for robust standards to ensure reliability and foster interoperability. NIST's recent Plan for Global Engagement on AI Standards sets the stage for advancing international efforts toward standardization. Key areas poised for early standardization include terminology, metrics, transparency around digital content origins, and training data practices. The symposium revealed a consensus on employing a tiered, prioritized approach for standardization, with piecemeal developments expected in the near future.</w:t>
      </w:r>
      <w:r/>
    </w:p>
    <w:p>
      <w:r/>
      <w:r>
        <w:rPr>
          <w:b/>
        </w:rPr>
        <w:t>Theme 3: Rethinking AI Regulation</w:t>
      </w:r>
      <w:r/>
    </w:p>
    <w:p>
      <w:r/>
      <w:r>
        <w:t>Current AI regulatory approaches in the United States are fragmented, contending with the broad application range of AI technologies. This disjointed regulatory landscape complicates compliance for businesses operating across state lines. Discussions at the symposium suggested that traditional regulation models might not suit the diverse nature of AI, highlighting the complex intersections between data, cloud computing, and privacy concerns. A shift towards novel regulatory frameworks that transcend existing sectoral boundaries could be necessary.</w:t>
      </w:r>
      <w:r/>
    </w:p>
    <w:p>
      <w:r/>
      <w:r>
        <w:t>Efforts to shape the regulatory environment align with broader governmental initiatives following the Biden Administration's Executive Order on AI. The symposium introduced the Office of Management and Budget’s new guidance, M-24-18, to standardise federal procurement policies for AI technology, indicating a strong federal push towards establishing a unified AI strategy.</w:t>
      </w:r>
      <w:r/>
    </w:p>
    <w:p>
      <w:r/>
      <w:r>
        <w:t>International collaboration was also a focal point, as representatives from Japan, Singapore, and the OECD shared their strategies and tools for fostering trustworthy AI. These dialogues aim to harmonize frameworks and create “crosswalks” that link NIST's RMF to domestic guidelines in various countries, setting a precedent for global engagement.</w:t>
      </w:r>
      <w:r/>
    </w:p>
    <w:p>
      <w:r/>
      <w:r>
        <w:t>In conclusion, the NIST symposium underscored the evolving complexity of AI risk management and regulation. By broadening the scope beyond developers and deployers, focusing on developing comprehensive standards, and rethinking regulatory approaches, the conference reinforced the need for cooperative and integrative strategies in AI governance. As national and international efforts gain momentum, stakeholders across the AI landscape are poised to navigate these transformative changes.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https://www.ansi.org/standards-news/all-news/2024/08/8-20-24-nist-symposium-to-explore-efforts-to-advance-measurements-and-standards</w:t>
        </w:r>
      </w:hyperlink>
      <w:r>
        <w:t xml:space="preserve"> - Corroborates the NIST symposium event and its focus on AI innovation and trust.</w:t>
      </w:r>
      <w:r/>
    </w:p>
    <w:p>
      <w:pPr>
        <w:pStyle w:val="ListNumber"/>
        <w:spacing w:line="240" w:lineRule="auto"/>
        <w:ind w:left="720"/>
      </w:pPr>
      <w:r/>
      <w:hyperlink r:id="rId11">
        <w:r>
          <w:rPr>
            <w:color w:val="0000EE"/>
            <w:u w:val="single"/>
          </w:rPr>
          <w:t>https://www.reedsmith.com/en/perspectives/2024/09/managing-genai-takeaways-nist-guidance-responsible-genai-implementation</w:t>
        </w:r>
      </w:hyperlink>
      <w:r>
        <w:t xml:space="preserve"> - Supports the discussion on NIST's AI Risk Management Framework (AI RMF) and its application to generative AI.</w:t>
      </w:r>
      <w:r/>
    </w:p>
    <w:p>
      <w:pPr>
        <w:pStyle w:val="ListNumber"/>
        <w:spacing w:line="240" w:lineRule="auto"/>
        <w:ind w:left="720"/>
      </w:pPr>
      <w:r/>
      <w:hyperlink r:id="rId12">
        <w:r>
          <w:rPr>
            <w:color w:val="0000EE"/>
            <w:u w:val="single"/>
          </w:rPr>
          <w:t>https://www.nist.gov/itl/ai-risk-management-framework</w:t>
        </w:r>
      </w:hyperlink>
      <w:r>
        <w:t xml:space="preserve"> - Details NIST's AI Risk Management Framework (AI RMF) and its comprehensive approach to AI risk management.</w:t>
      </w:r>
      <w:r/>
    </w:p>
    <w:p>
      <w:pPr>
        <w:pStyle w:val="ListNumber"/>
        <w:spacing w:line="240" w:lineRule="auto"/>
        <w:ind w:left="720"/>
      </w:pPr>
      <w:r/>
      <w:hyperlink r:id="rId13">
        <w:r>
          <w:rPr>
            <w:color w:val="0000EE"/>
            <w:u w:val="single"/>
          </w:rPr>
          <w:t>https://www.nist.gov/artificial-intelligence</w:t>
        </w:r>
      </w:hyperlink>
      <w:r>
        <w:t xml:space="preserve"> - Explains NIST's goals and activities in advancing trustworthy AI, including standards and risk management.</w:t>
      </w:r>
      <w:r/>
    </w:p>
    <w:p>
      <w:pPr>
        <w:pStyle w:val="ListNumber"/>
        <w:spacing w:line="240" w:lineRule="auto"/>
        <w:ind w:left="720"/>
      </w:pPr>
      <w:r/>
      <w:hyperlink r:id="rId10">
        <w:r>
          <w:rPr>
            <w:color w:val="0000EE"/>
            <w:u w:val="single"/>
          </w:rPr>
          <w:t>https://www.ansi.org/standards-news/all-news/2024/08/8-20-24-nist-symposium-to-explore-efforts-to-advance-measurements-and-standards</w:t>
        </w:r>
      </w:hyperlink>
      <w:r>
        <w:t xml:space="preserve"> - Mentions NIST's efforts in advancing AI measurements and standards, including international collaboration.</w:t>
      </w:r>
      <w:r/>
    </w:p>
    <w:p>
      <w:pPr>
        <w:pStyle w:val="ListNumber"/>
        <w:spacing w:line="240" w:lineRule="auto"/>
        <w:ind w:left="720"/>
      </w:pPr>
      <w:r/>
      <w:hyperlink r:id="rId12">
        <w:r>
          <w:rPr>
            <w:color w:val="0000EE"/>
            <w:u w:val="single"/>
          </w:rPr>
          <w:t>https://www.nist.gov/itl/ai-risk-management-framework</w:t>
        </w:r>
      </w:hyperlink>
      <w:r>
        <w:t xml:space="preserve"> - Discusses the importance of sociotechnical evaluations in AI risk management, aligning with the symposium's themes.</w:t>
      </w:r>
      <w:r/>
    </w:p>
    <w:p>
      <w:pPr>
        <w:pStyle w:val="ListNumber"/>
        <w:spacing w:line="240" w:lineRule="auto"/>
        <w:ind w:left="720"/>
      </w:pPr>
      <w:r/>
      <w:hyperlink r:id="rId11">
        <w:r>
          <w:rPr>
            <w:color w:val="0000EE"/>
            <w:u w:val="single"/>
          </w:rPr>
          <w:t>https://www.reedsmith.com/en/perspectives/2024/09/managing-genai-takeaways-nist-guidance-responsible-genai-implementation</w:t>
        </w:r>
      </w:hyperlink>
      <w:r>
        <w:t xml:space="preserve"> - Highlights the necessity of considering the entire AI value chain, including data curation and model training.</w:t>
      </w:r>
      <w:r/>
    </w:p>
    <w:p>
      <w:pPr>
        <w:pStyle w:val="ListNumber"/>
        <w:spacing w:line="240" w:lineRule="auto"/>
        <w:ind w:left="720"/>
      </w:pPr>
      <w:r/>
      <w:hyperlink r:id="rId13">
        <w:r>
          <w:rPr>
            <w:color w:val="0000EE"/>
            <w:u w:val="single"/>
          </w:rPr>
          <w:t>https://www.nist.gov/artificial-intelligence</w:t>
        </w:r>
      </w:hyperlink>
      <w:r>
        <w:t xml:space="preserve"> - Supports the need for robust standards to ensure reliability and foster interoperability in AI innovations.</w:t>
      </w:r>
      <w:r/>
    </w:p>
    <w:p>
      <w:pPr>
        <w:pStyle w:val="ListNumber"/>
        <w:spacing w:line="240" w:lineRule="auto"/>
        <w:ind w:left="720"/>
      </w:pPr>
      <w:r/>
      <w:hyperlink r:id="rId14">
        <w:r>
          <w:rPr>
            <w:color w:val="0000EE"/>
            <w:u w:val="single"/>
          </w:rPr>
          <w:t>https://csrc.nist.gov/news/2024/nist-publishes-sp-800218a</w:t>
        </w:r>
      </w:hyperlink>
      <w:r>
        <w:t xml:space="preserve"> - Details NIST's efforts in developing secure software development practices for generative AI, aligning with the symposium's focus on trustworthy AI.</w:t>
      </w:r>
      <w:r/>
    </w:p>
    <w:p>
      <w:pPr>
        <w:pStyle w:val="ListNumber"/>
        <w:spacing w:line="240" w:lineRule="auto"/>
        <w:ind w:left="720"/>
      </w:pPr>
      <w:r/>
      <w:hyperlink r:id="rId10">
        <w:r>
          <w:rPr>
            <w:color w:val="0000EE"/>
            <w:u w:val="single"/>
          </w:rPr>
          <w:t>https://www.ansi.org/standards-news/all-news/2024/08/8-20-24-nist-symposium-to-explore-efforts-to-advance-measurements-and-standards</w:t>
        </w:r>
      </w:hyperlink>
      <w:r>
        <w:t xml:space="preserve"> - Mentions the Biden Administration's Executive Order and its impact on AI regulation and standardization.</w:t>
      </w:r>
      <w:r/>
    </w:p>
    <w:p>
      <w:pPr>
        <w:pStyle w:val="ListNumber"/>
        <w:spacing w:line="240" w:lineRule="auto"/>
        <w:ind w:left="720"/>
      </w:pPr>
      <w:r/>
      <w:hyperlink r:id="rId15">
        <w:r>
          <w:rPr>
            <w:color w:val="0000EE"/>
            <w:u w:val="single"/>
          </w:rPr>
          <w:t>https://www.jdsupra.com/legalnews/beyond-the-binary-how-nist-is-shaping-1486362/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si.org/standards-news/all-news/2024/08/8-20-24-nist-symposium-to-explore-efforts-to-advance-measurements-and-standards" TargetMode="External"/><Relationship Id="rId11" Type="http://schemas.openxmlformats.org/officeDocument/2006/relationships/hyperlink" Target="https://www.reedsmith.com/en/perspectives/2024/09/managing-genai-takeaways-nist-guidance-responsible-genai-implementation" TargetMode="External"/><Relationship Id="rId12" Type="http://schemas.openxmlformats.org/officeDocument/2006/relationships/hyperlink" Target="https://www.nist.gov/itl/ai-risk-management-framework" TargetMode="External"/><Relationship Id="rId13" Type="http://schemas.openxmlformats.org/officeDocument/2006/relationships/hyperlink" Target="https://www.nist.gov/artificial-intelligence" TargetMode="External"/><Relationship Id="rId14" Type="http://schemas.openxmlformats.org/officeDocument/2006/relationships/hyperlink" Target="https://csrc.nist.gov/news/2024/nist-publishes-sp-800218a" TargetMode="External"/><Relationship Id="rId15" Type="http://schemas.openxmlformats.org/officeDocument/2006/relationships/hyperlink" Target="https://www.jdsupra.com/legalnews/beyond-the-binary-how-nist-is-shaping-14863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